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6C" w:rsidRPr="00A717C8" w:rsidRDefault="00823EF2" w:rsidP="00D65364">
      <w:pPr>
        <w:tabs>
          <w:tab w:val="left" w:pos="12758"/>
        </w:tabs>
        <w:jc w:val="center"/>
        <w:rPr>
          <w:b/>
        </w:rPr>
      </w:pPr>
      <w:bookmarkStart w:id="0" w:name="_GoBack"/>
      <w:bookmarkEnd w:id="0"/>
      <w:r>
        <w:rPr>
          <w:b/>
        </w:rPr>
        <w:t>KİRLİLİK ÖNLEM BEDELİNE ESAS FAALİYETLER VE KÖB TUTARLARI ÇİZELGESİ</w:t>
      </w:r>
    </w:p>
    <w:tbl>
      <w:tblPr>
        <w:tblStyle w:val="TabloKlavuzu"/>
        <w:tblW w:w="14029" w:type="dxa"/>
        <w:tblLook w:val="04A0" w:firstRow="1" w:lastRow="0" w:firstColumn="1" w:lastColumn="0" w:noHBand="0" w:noVBand="1"/>
      </w:tblPr>
      <w:tblGrid>
        <w:gridCol w:w="550"/>
        <w:gridCol w:w="7242"/>
        <w:gridCol w:w="6237"/>
      </w:tblGrid>
      <w:tr w:rsidR="003D357A" w:rsidTr="00596A99">
        <w:trPr>
          <w:trHeight w:val="341"/>
        </w:trPr>
        <w:tc>
          <w:tcPr>
            <w:tcW w:w="550" w:type="dxa"/>
            <w:vAlign w:val="center"/>
          </w:tcPr>
          <w:p w:rsidR="00E83CF1" w:rsidRPr="00C013A1" w:rsidRDefault="00823EF2" w:rsidP="00E83CF1">
            <w:pPr>
              <w:jc w:val="center"/>
              <w:rPr>
                <w:sz w:val="20"/>
                <w:szCs w:val="20"/>
              </w:rPr>
            </w:pPr>
            <w:bookmarkStart w:id="1" w:name="_Hlk99704948"/>
            <w:r w:rsidRPr="00C013A1">
              <w:rPr>
                <w:sz w:val="20"/>
                <w:szCs w:val="20"/>
              </w:rPr>
              <w:t>Sıra No</w:t>
            </w:r>
          </w:p>
        </w:tc>
        <w:tc>
          <w:tcPr>
            <w:tcW w:w="7242" w:type="dxa"/>
            <w:vAlign w:val="center"/>
          </w:tcPr>
          <w:p w:rsidR="00E83CF1" w:rsidRPr="00C013A1" w:rsidRDefault="00823EF2" w:rsidP="00E83CF1">
            <w:pPr>
              <w:jc w:val="center"/>
              <w:rPr>
                <w:sz w:val="20"/>
                <w:szCs w:val="20"/>
              </w:rPr>
            </w:pPr>
            <w:r w:rsidRPr="00C013A1">
              <w:rPr>
                <w:sz w:val="20"/>
                <w:szCs w:val="20"/>
              </w:rPr>
              <w:t xml:space="preserve">Atıksu Altyapı Talimatı İhlal Durumu </w:t>
            </w:r>
          </w:p>
        </w:tc>
        <w:tc>
          <w:tcPr>
            <w:tcW w:w="6237" w:type="dxa"/>
            <w:vAlign w:val="center"/>
          </w:tcPr>
          <w:p w:rsidR="00E83CF1" w:rsidRPr="00C013A1" w:rsidRDefault="00823EF2" w:rsidP="00E83CF1">
            <w:pPr>
              <w:jc w:val="center"/>
              <w:rPr>
                <w:sz w:val="20"/>
                <w:szCs w:val="20"/>
              </w:rPr>
            </w:pPr>
            <w:r w:rsidRPr="00C013A1">
              <w:rPr>
                <w:sz w:val="20"/>
                <w:szCs w:val="20"/>
              </w:rPr>
              <w:t>Kirlilik Önlem Bedeli (TL)</w:t>
            </w:r>
          </w:p>
        </w:tc>
      </w:tr>
      <w:bookmarkEnd w:id="1"/>
      <w:tr w:rsidR="003D357A" w:rsidTr="00596A99">
        <w:trPr>
          <w:trHeight w:val="427"/>
        </w:trPr>
        <w:tc>
          <w:tcPr>
            <w:tcW w:w="14029" w:type="dxa"/>
            <w:gridSpan w:val="3"/>
            <w:vAlign w:val="center"/>
          </w:tcPr>
          <w:p w:rsidR="00742630" w:rsidRPr="00742630" w:rsidRDefault="00823EF2" w:rsidP="00742630">
            <w:pPr>
              <w:pStyle w:val="ListeParagraf"/>
              <w:numPr>
                <w:ilvl w:val="0"/>
                <w:numId w:val="3"/>
              </w:numPr>
              <w:jc w:val="center"/>
              <w:rPr>
                <w:sz w:val="20"/>
                <w:szCs w:val="20"/>
              </w:rPr>
            </w:pPr>
            <w:r>
              <w:rPr>
                <w:sz w:val="20"/>
                <w:szCs w:val="20"/>
              </w:rPr>
              <w:t>ÖNCELİKLİ GRUP</w:t>
            </w:r>
          </w:p>
        </w:tc>
      </w:tr>
      <w:tr w:rsidR="003D357A" w:rsidTr="00195176">
        <w:trPr>
          <w:trHeight w:val="1978"/>
        </w:trPr>
        <w:tc>
          <w:tcPr>
            <w:tcW w:w="550" w:type="dxa"/>
            <w:vAlign w:val="center"/>
          </w:tcPr>
          <w:p w:rsidR="00E83CF1" w:rsidRPr="003B3A8E" w:rsidRDefault="00823EF2" w:rsidP="003B3A8E">
            <w:pPr>
              <w:rPr>
                <w:sz w:val="20"/>
                <w:szCs w:val="20"/>
              </w:rPr>
            </w:pPr>
            <w:r w:rsidRPr="003B3A8E">
              <w:rPr>
                <w:sz w:val="20"/>
                <w:szCs w:val="20"/>
              </w:rPr>
              <w:t>1</w:t>
            </w:r>
          </w:p>
        </w:tc>
        <w:tc>
          <w:tcPr>
            <w:tcW w:w="7242" w:type="dxa"/>
            <w:vAlign w:val="center"/>
          </w:tcPr>
          <w:p w:rsidR="00A21AB1" w:rsidRDefault="00823EF2" w:rsidP="003B3A8E">
            <w:pPr>
              <w:rPr>
                <w:rFonts w:cstheme="minorHAnsi"/>
              </w:rPr>
            </w:pPr>
            <w:r w:rsidRPr="003B3A8E">
              <w:rPr>
                <w:sz w:val="20"/>
                <w:szCs w:val="20"/>
              </w:rPr>
              <w:t>Atıksu Altyapı Yönetim Talimatı gerekliliklerini yerine getirmemek (Madde 4.1)</w:t>
            </w:r>
            <w:r w:rsidR="00E919D5" w:rsidRPr="00B04ABA">
              <w:rPr>
                <w:rFonts w:cstheme="minorHAnsi"/>
              </w:rPr>
              <w:t xml:space="preserve"> </w:t>
            </w:r>
          </w:p>
          <w:p w:rsidR="00E83CF1" w:rsidRPr="00A21AB1" w:rsidRDefault="00823EF2" w:rsidP="003B3A8E">
            <w:pPr>
              <w:rPr>
                <w:i/>
                <w:sz w:val="20"/>
                <w:szCs w:val="20"/>
              </w:rPr>
            </w:pPr>
            <w:r>
              <w:rPr>
                <w:rFonts w:cstheme="minorHAnsi"/>
                <w:i/>
                <w:sz w:val="20"/>
              </w:rPr>
              <w:t xml:space="preserve">“Bu talimata </w:t>
            </w:r>
            <w:r>
              <w:rPr>
                <w:rFonts w:cstheme="minorHAnsi"/>
                <w:i/>
                <w:sz w:val="20"/>
              </w:rPr>
              <w:t>uygun olarak atık sularını DOSAB sınırları dışına çıkarmamak, Kanalizasyon Sisteminin, DOSAB Atık Su Arıtma Tesisinin ve çevrenin korunması için, gerekli her türlü önlemi almak ve bu talimatta belirtilen hükümler uyarınca ön arıtma tesislerini kurup işletm</w:t>
            </w:r>
            <w:r>
              <w:rPr>
                <w:rFonts w:cstheme="minorHAnsi"/>
                <w:i/>
                <w:sz w:val="20"/>
              </w:rPr>
              <w:t>ek ve atık sularını DOSAB’ın Atık Su Arıtma Tesisine göndermekle yükümlüdür.”</w:t>
            </w:r>
          </w:p>
        </w:tc>
        <w:tc>
          <w:tcPr>
            <w:tcW w:w="6237" w:type="dxa"/>
            <w:vAlign w:val="center"/>
          </w:tcPr>
          <w:p w:rsidR="00E83CF1" w:rsidRDefault="00823EF2" w:rsidP="00C013A1">
            <w:pPr>
              <w:jc w:val="center"/>
              <w:rPr>
                <w:sz w:val="20"/>
                <w:szCs w:val="20"/>
              </w:rPr>
            </w:pPr>
            <w:r>
              <w:rPr>
                <w:sz w:val="20"/>
                <w:szCs w:val="20"/>
              </w:rPr>
              <w:t>150 000 TL</w:t>
            </w:r>
          </w:p>
          <w:p w:rsidR="003B3A8E" w:rsidRDefault="00823EF2" w:rsidP="00C013A1">
            <w:pPr>
              <w:jc w:val="center"/>
              <w:rPr>
                <w:sz w:val="20"/>
                <w:szCs w:val="20"/>
              </w:rPr>
            </w:pPr>
            <w:r>
              <w:rPr>
                <w:sz w:val="20"/>
                <w:szCs w:val="20"/>
              </w:rPr>
              <w:t>ya da</w:t>
            </w:r>
          </w:p>
          <w:p w:rsidR="00C013A1" w:rsidRDefault="00823EF2" w:rsidP="00C013A1">
            <w:pPr>
              <w:jc w:val="center"/>
              <w:rPr>
                <w:sz w:val="20"/>
                <w:szCs w:val="20"/>
              </w:rPr>
            </w:pPr>
            <w:r>
              <w:rPr>
                <w:sz w:val="20"/>
                <w:szCs w:val="20"/>
              </w:rPr>
              <w:t>Bir önceki Takvim Yılı içerisindeki</w:t>
            </w:r>
          </w:p>
          <w:p w:rsidR="003B3A8E" w:rsidRPr="003B3A8E" w:rsidRDefault="00823EF2" w:rsidP="00C013A1">
            <w:pPr>
              <w:jc w:val="center"/>
              <w:rPr>
                <w:sz w:val="20"/>
                <w:szCs w:val="20"/>
              </w:rPr>
            </w:pPr>
            <w:r>
              <w:rPr>
                <w:sz w:val="20"/>
                <w:szCs w:val="20"/>
              </w:rPr>
              <w:t>En Yüksek Aylık</w:t>
            </w:r>
            <w:r>
              <w:t xml:space="preserve"> </w:t>
            </w:r>
            <w:r>
              <w:rPr>
                <w:sz w:val="20"/>
                <w:szCs w:val="20"/>
              </w:rPr>
              <w:t>Atıksu Hizmet Bedelinin 10 katı</w:t>
            </w:r>
          </w:p>
        </w:tc>
      </w:tr>
      <w:tr w:rsidR="003D357A" w:rsidTr="00195176">
        <w:trPr>
          <w:trHeight w:val="1665"/>
        </w:trPr>
        <w:tc>
          <w:tcPr>
            <w:tcW w:w="550" w:type="dxa"/>
            <w:vAlign w:val="center"/>
          </w:tcPr>
          <w:p w:rsidR="00742630" w:rsidRDefault="00823EF2" w:rsidP="00742630">
            <w:pPr>
              <w:rPr>
                <w:sz w:val="20"/>
                <w:szCs w:val="20"/>
              </w:rPr>
            </w:pPr>
            <w:r>
              <w:rPr>
                <w:sz w:val="20"/>
                <w:szCs w:val="20"/>
              </w:rPr>
              <w:t>2</w:t>
            </w:r>
          </w:p>
        </w:tc>
        <w:tc>
          <w:tcPr>
            <w:tcW w:w="7242" w:type="dxa"/>
            <w:vAlign w:val="center"/>
          </w:tcPr>
          <w:p w:rsidR="00742630" w:rsidRDefault="00823EF2" w:rsidP="00742630">
            <w:pPr>
              <w:rPr>
                <w:rFonts w:cstheme="minorHAnsi"/>
              </w:rPr>
            </w:pPr>
            <w:r>
              <w:rPr>
                <w:rFonts w:cstheme="minorHAnsi"/>
              </w:rPr>
              <w:t>Atıksu Bağlantı izni (Madde 11.12)</w:t>
            </w:r>
          </w:p>
          <w:p w:rsidR="00A21AB1" w:rsidRPr="003B60BA" w:rsidRDefault="00823EF2" w:rsidP="00742630">
            <w:pPr>
              <w:rPr>
                <w:rFonts w:cstheme="minorHAnsi"/>
              </w:rPr>
            </w:pPr>
            <w:r>
              <w:rPr>
                <w:rFonts w:cstheme="minorHAnsi"/>
              </w:rPr>
              <w:t>“</w:t>
            </w:r>
            <w:r w:rsidRPr="00A21AB1">
              <w:rPr>
                <w:rFonts w:cstheme="minorHAnsi"/>
                <w:i/>
                <w:sz w:val="20"/>
              </w:rPr>
              <w:t xml:space="preserve">Atıksu Bağlantı İzni olmadan faaliyet </w:t>
            </w:r>
            <w:r w:rsidRPr="00A21AB1">
              <w:rPr>
                <w:rFonts w:cstheme="minorHAnsi"/>
                <w:i/>
                <w:sz w:val="20"/>
              </w:rPr>
              <w:t>gösteren tesisler”</w:t>
            </w:r>
          </w:p>
        </w:tc>
        <w:tc>
          <w:tcPr>
            <w:tcW w:w="6237" w:type="dxa"/>
            <w:vAlign w:val="center"/>
          </w:tcPr>
          <w:p w:rsidR="003C42FB" w:rsidRDefault="00823EF2" w:rsidP="00C013A1">
            <w:pPr>
              <w:jc w:val="center"/>
              <w:rPr>
                <w:sz w:val="20"/>
                <w:szCs w:val="20"/>
              </w:rPr>
            </w:pPr>
            <w:r>
              <w:rPr>
                <w:sz w:val="20"/>
                <w:szCs w:val="20"/>
              </w:rPr>
              <w:t>150 000 TL</w:t>
            </w:r>
          </w:p>
          <w:p w:rsidR="003C42FB" w:rsidRDefault="00823EF2" w:rsidP="00C013A1">
            <w:pPr>
              <w:jc w:val="center"/>
              <w:rPr>
                <w:sz w:val="20"/>
                <w:szCs w:val="20"/>
              </w:rPr>
            </w:pPr>
            <w:r>
              <w:rPr>
                <w:sz w:val="20"/>
                <w:szCs w:val="20"/>
              </w:rPr>
              <w:t>ya da</w:t>
            </w:r>
          </w:p>
          <w:p w:rsidR="00C013A1" w:rsidRDefault="00823EF2" w:rsidP="00C013A1">
            <w:pPr>
              <w:jc w:val="center"/>
              <w:rPr>
                <w:sz w:val="20"/>
                <w:szCs w:val="20"/>
              </w:rPr>
            </w:pPr>
            <w:r>
              <w:rPr>
                <w:sz w:val="20"/>
                <w:szCs w:val="20"/>
              </w:rPr>
              <w:t xml:space="preserve">Bir önceki Takvim Yılı içerisindeki </w:t>
            </w:r>
          </w:p>
          <w:p w:rsidR="00742630" w:rsidRDefault="00823EF2" w:rsidP="00C013A1">
            <w:pPr>
              <w:jc w:val="center"/>
              <w:rPr>
                <w:sz w:val="20"/>
                <w:szCs w:val="20"/>
              </w:rPr>
            </w:pPr>
            <w:r>
              <w:rPr>
                <w:sz w:val="20"/>
                <w:szCs w:val="20"/>
              </w:rPr>
              <w:t>En Yüksek Aylık</w:t>
            </w:r>
            <w:r>
              <w:t xml:space="preserve"> </w:t>
            </w:r>
            <w:r>
              <w:rPr>
                <w:sz w:val="20"/>
                <w:szCs w:val="20"/>
              </w:rPr>
              <w:t>Atıksu Hizmet Bedelinin 10 katı</w:t>
            </w:r>
          </w:p>
        </w:tc>
      </w:tr>
      <w:tr w:rsidR="003D357A" w:rsidTr="00195176">
        <w:trPr>
          <w:trHeight w:val="2078"/>
        </w:trPr>
        <w:tc>
          <w:tcPr>
            <w:tcW w:w="550" w:type="dxa"/>
            <w:vAlign w:val="center"/>
          </w:tcPr>
          <w:p w:rsidR="00742630" w:rsidRDefault="00823EF2" w:rsidP="00742630">
            <w:pPr>
              <w:rPr>
                <w:sz w:val="20"/>
                <w:szCs w:val="20"/>
              </w:rPr>
            </w:pPr>
            <w:r>
              <w:rPr>
                <w:sz w:val="20"/>
                <w:szCs w:val="20"/>
              </w:rPr>
              <w:t>3</w:t>
            </w:r>
          </w:p>
        </w:tc>
        <w:tc>
          <w:tcPr>
            <w:tcW w:w="7242" w:type="dxa"/>
            <w:vAlign w:val="center"/>
          </w:tcPr>
          <w:p w:rsidR="00742630" w:rsidRDefault="00823EF2" w:rsidP="00742630">
            <w:pPr>
              <w:rPr>
                <w:rFonts w:cstheme="minorHAnsi"/>
              </w:rPr>
            </w:pPr>
            <w:r>
              <w:rPr>
                <w:rFonts w:cstheme="minorHAnsi"/>
              </w:rPr>
              <w:t>Ön arıtma zorunluluğu (Madde 12.5)</w:t>
            </w:r>
          </w:p>
          <w:p w:rsidR="00A21AB1" w:rsidRDefault="00823EF2" w:rsidP="00742630">
            <w:pPr>
              <w:rPr>
                <w:rFonts w:cstheme="minorHAnsi"/>
              </w:rPr>
            </w:pPr>
            <w:r>
              <w:rPr>
                <w:rFonts w:cstheme="minorHAnsi"/>
              </w:rPr>
              <w:t>“</w:t>
            </w:r>
            <w:r w:rsidRPr="00A21AB1">
              <w:rPr>
                <w:rFonts w:cstheme="minorHAnsi"/>
                <w:i/>
                <w:sz w:val="20"/>
              </w:rPr>
              <w:t xml:space="preserve">Katılımcı, ön arıtma işlemi sonrası çıkacak olan çamurlarını ve diğer katı atık niteliğindeki </w:t>
            </w:r>
            <w:r w:rsidRPr="00A21AB1">
              <w:rPr>
                <w:rFonts w:cstheme="minorHAnsi"/>
                <w:i/>
                <w:sz w:val="20"/>
              </w:rPr>
              <w:t>atıkları, yürürlükteki Çevre Mevzuatı uyarınca bertaraf etmek, atık beyan formlarını her yılın Nisan ayının son iş gününe kadar DOSAB’a bildirmekle sorumlu ve yükümlüdürler”</w:t>
            </w:r>
          </w:p>
        </w:tc>
        <w:tc>
          <w:tcPr>
            <w:tcW w:w="6237" w:type="dxa"/>
            <w:vAlign w:val="center"/>
          </w:tcPr>
          <w:p w:rsidR="003C42FB" w:rsidRDefault="00823EF2" w:rsidP="00C013A1">
            <w:pPr>
              <w:jc w:val="center"/>
              <w:rPr>
                <w:sz w:val="20"/>
                <w:szCs w:val="20"/>
              </w:rPr>
            </w:pPr>
            <w:r>
              <w:rPr>
                <w:sz w:val="20"/>
                <w:szCs w:val="20"/>
              </w:rPr>
              <w:t>150 000 TL</w:t>
            </w:r>
          </w:p>
          <w:p w:rsidR="003C42FB" w:rsidRDefault="00823EF2" w:rsidP="00C013A1">
            <w:pPr>
              <w:jc w:val="center"/>
              <w:rPr>
                <w:sz w:val="20"/>
                <w:szCs w:val="20"/>
              </w:rPr>
            </w:pPr>
            <w:r>
              <w:rPr>
                <w:sz w:val="20"/>
                <w:szCs w:val="20"/>
              </w:rPr>
              <w:t>ya da</w:t>
            </w:r>
          </w:p>
          <w:p w:rsidR="00C013A1" w:rsidRDefault="00823EF2" w:rsidP="00C013A1">
            <w:pPr>
              <w:jc w:val="center"/>
              <w:rPr>
                <w:sz w:val="20"/>
                <w:szCs w:val="20"/>
              </w:rPr>
            </w:pPr>
            <w:r>
              <w:rPr>
                <w:sz w:val="20"/>
                <w:szCs w:val="20"/>
              </w:rPr>
              <w:t xml:space="preserve">Bir önceki Takvim Yılı içerisindeki </w:t>
            </w:r>
          </w:p>
          <w:p w:rsidR="00742630" w:rsidRDefault="00823EF2" w:rsidP="00C013A1">
            <w:pPr>
              <w:jc w:val="center"/>
              <w:rPr>
                <w:sz w:val="20"/>
                <w:szCs w:val="20"/>
              </w:rPr>
            </w:pPr>
            <w:r>
              <w:rPr>
                <w:sz w:val="20"/>
                <w:szCs w:val="20"/>
              </w:rPr>
              <w:t>En Yüksek Aylık</w:t>
            </w:r>
            <w:r>
              <w:t xml:space="preserve"> </w:t>
            </w:r>
            <w:r>
              <w:rPr>
                <w:sz w:val="20"/>
                <w:szCs w:val="20"/>
              </w:rPr>
              <w:t>Atıksu Hizme</w:t>
            </w:r>
            <w:r>
              <w:rPr>
                <w:sz w:val="20"/>
                <w:szCs w:val="20"/>
              </w:rPr>
              <w:t>t Bedelinin 10 katı</w:t>
            </w:r>
          </w:p>
        </w:tc>
      </w:tr>
      <w:tr w:rsidR="003D357A" w:rsidTr="00596A99">
        <w:trPr>
          <w:trHeight w:val="541"/>
        </w:trPr>
        <w:tc>
          <w:tcPr>
            <w:tcW w:w="14029" w:type="dxa"/>
            <w:gridSpan w:val="3"/>
            <w:vAlign w:val="center"/>
          </w:tcPr>
          <w:p w:rsidR="00742630" w:rsidRPr="00742630" w:rsidRDefault="00823EF2" w:rsidP="00C013A1">
            <w:pPr>
              <w:pStyle w:val="ListeParagraf"/>
              <w:numPr>
                <w:ilvl w:val="0"/>
                <w:numId w:val="3"/>
              </w:numPr>
              <w:jc w:val="center"/>
              <w:rPr>
                <w:sz w:val="20"/>
                <w:szCs w:val="20"/>
              </w:rPr>
            </w:pPr>
            <w:r>
              <w:rPr>
                <w:sz w:val="20"/>
                <w:szCs w:val="20"/>
              </w:rPr>
              <w:t>ÖNCELİKLİ GRUP</w:t>
            </w:r>
          </w:p>
        </w:tc>
      </w:tr>
      <w:tr w:rsidR="003D357A" w:rsidTr="00195176">
        <w:trPr>
          <w:trHeight w:val="1543"/>
        </w:trPr>
        <w:tc>
          <w:tcPr>
            <w:tcW w:w="550" w:type="dxa"/>
            <w:vAlign w:val="center"/>
          </w:tcPr>
          <w:p w:rsidR="00742630" w:rsidRDefault="00823EF2" w:rsidP="00742630">
            <w:pPr>
              <w:rPr>
                <w:sz w:val="20"/>
                <w:szCs w:val="20"/>
              </w:rPr>
            </w:pPr>
            <w:r>
              <w:rPr>
                <w:sz w:val="20"/>
                <w:szCs w:val="20"/>
              </w:rPr>
              <w:t>4</w:t>
            </w:r>
          </w:p>
        </w:tc>
        <w:tc>
          <w:tcPr>
            <w:tcW w:w="7242" w:type="dxa"/>
            <w:vAlign w:val="center"/>
          </w:tcPr>
          <w:p w:rsidR="00742630" w:rsidRDefault="00823EF2" w:rsidP="00742630">
            <w:pPr>
              <w:rPr>
                <w:sz w:val="20"/>
                <w:szCs w:val="20"/>
              </w:rPr>
            </w:pPr>
            <w:r>
              <w:rPr>
                <w:sz w:val="20"/>
                <w:szCs w:val="20"/>
              </w:rPr>
              <w:t>Kanalizasyon sistemine verilemeyecek atıklar (Madde 8.3)</w:t>
            </w:r>
          </w:p>
          <w:p w:rsidR="006E69AD" w:rsidRDefault="00823EF2" w:rsidP="00742630">
            <w:pPr>
              <w:rPr>
                <w:sz w:val="20"/>
                <w:szCs w:val="20"/>
              </w:rPr>
            </w:pPr>
            <w:r>
              <w:rPr>
                <w:rFonts w:cstheme="minorHAnsi"/>
              </w:rPr>
              <w:t>“</w:t>
            </w:r>
            <w:r w:rsidRPr="006E69AD">
              <w:rPr>
                <w:rFonts w:cstheme="minorHAnsi"/>
                <w:i/>
                <w:sz w:val="20"/>
              </w:rPr>
              <w:t>Katılımcı tarafından yukarıda belirtilen atıkların kanalizasyon sistemine verilmesinin tespiti halinde</w:t>
            </w:r>
            <w:r>
              <w:rPr>
                <w:rFonts w:cstheme="minorHAnsi"/>
              </w:rPr>
              <w:t>”</w:t>
            </w:r>
          </w:p>
        </w:tc>
        <w:tc>
          <w:tcPr>
            <w:tcW w:w="6237" w:type="dxa"/>
            <w:vAlign w:val="center"/>
          </w:tcPr>
          <w:p w:rsidR="003C42FB" w:rsidRDefault="00823EF2" w:rsidP="00C013A1">
            <w:pPr>
              <w:jc w:val="center"/>
              <w:rPr>
                <w:sz w:val="20"/>
                <w:szCs w:val="20"/>
              </w:rPr>
            </w:pPr>
            <w:r>
              <w:rPr>
                <w:sz w:val="20"/>
                <w:szCs w:val="20"/>
              </w:rPr>
              <w:t>100 000 TL*</w:t>
            </w:r>
          </w:p>
          <w:p w:rsidR="003C42FB" w:rsidRDefault="00823EF2" w:rsidP="00C013A1">
            <w:pPr>
              <w:jc w:val="center"/>
              <w:rPr>
                <w:sz w:val="20"/>
                <w:szCs w:val="20"/>
              </w:rPr>
            </w:pPr>
            <w:r>
              <w:rPr>
                <w:sz w:val="20"/>
                <w:szCs w:val="20"/>
              </w:rPr>
              <w:t>ya da</w:t>
            </w:r>
          </w:p>
          <w:p w:rsidR="00C013A1" w:rsidRDefault="00823EF2" w:rsidP="00C013A1">
            <w:pPr>
              <w:jc w:val="center"/>
              <w:rPr>
                <w:sz w:val="20"/>
                <w:szCs w:val="20"/>
              </w:rPr>
            </w:pPr>
            <w:r>
              <w:rPr>
                <w:sz w:val="20"/>
                <w:szCs w:val="20"/>
              </w:rPr>
              <w:t xml:space="preserve">Bir önceki Takvim Yılı içerisindeki </w:t>
            </w:r>
          </w:p>
          <w:p w:rsidR="00742630" w:rsidRDefault="00823EF2" w:rsidP="00C013A1">
            <w:pPr>
              <w:jc w:val="center"/>
              <w:rPr>
                <w:sz w:val="20"/>
                <w:szCs w:val="20"/>
              </w:rPr>
            </w:pPr>
            <w:r>
              <w:rPr>
                <w:sz w:val="20"/>
                <w:szCs w:val="20"/>
              </w:rPr>
              <w:t>En Yüksek Aylık</w:t>
            </w:r>
            <w:r>
              <w:t xml:space="preserve"> </w:t>
            </w:r>
            <w:r>
              <w:rPr>
                <w:sz w:val="20"/>
                <w:szCs w:val="20"/>
              </w:rPr>
              <w:t>Atıksu Hizmet Bedelinin 5 katı*</w:t>
            </w:r>
          </w:p>
        </w:tc>
      </w:tr>
      <w:tr w:rsidR="003D357A" w:rsidTr="00997AF6">
        <w:trPr>
          <w:trHeight w:val="341"/>
        </w:trPr>
        <w:tc>
          <w:tcPr>
            <w:tcW w:w="550" w:type="dxa"/>
            <w:vAlign w:val="center"/>
          </w:tcPr>
          <w:p w:rsidR="00596A99" w:rsidRPr="00C013A1" w:rsidRDefault="00823EF2" w:rsidP="00997AF6">
            <w:pPr>
              <w:jc w:val="center"/>
              <w:rPr>
                <w:sz w:val="20"/>
                <w:szCs w:val="20"/>
              </w:rPr>
            </w:pPr>
            <w:r w:rsidRPr="00C013A1">
              <w:rPr>
                <w:sz w:val="20"/>
                <w:szCs w:val="20"/>
              </w:rPr>
              <w:lastRenderedPageBreak/>
              <w:t>Sıra No</w:t>
            </w:r>
          </w:p>
        </w:tc>
        <w:tc>
          <w:tcPr>
            <w:tcW w:w="7242" w:type="dxa"/>
            <w:vAlign w:val="center"/>
          </w:tcPr>
          <w:p w:rsidR="00596A99" w:rsidRPr="00C013A1" w:rsidRDefault="00823EF2" w:rsidP="00997AF6">
            <w:pPr>
              <w:jc w:val="center"/>
              <w:rPr>
                <w:sz w:val="20"/>
                <w:szCs w:val="20"/>
              </w:rPr>
            </w:pPr>
            <w:r w:rsidRPr="00C013A1">
              <w:rPr>
                <w:sz w:val="20"/>
                <w:szCs w:val="20"/>
              </w:rPr>
              <w:t xml:space="preserve">Atıksu Altyapı Talimatı İhlal Durumu </w:t>
            </w:r>
          </w:p>
        </w:tc>
        <w:tc>
          <w:tcPr>
            <w:tcW w:w="6237" w:type="dxa"/>
            <w:vAlign w:val="center"/>
          </w:tcPr>
          <w:p w:rsidR="00596A99" w:rsidRPr="00C013A1" w:rsidRDefault="00823EF2" w:rsidP="00997AF6">
            <w:pPr>
              <w:jc w:val="center"/>
              <w:rPr>
                <w:sz w:val="20"/>
                <w:szCs w:val="20"/>
              </w:rPr>
            </w:pPr>
            <w:r w:rsidRPr="00C013A1">
              <w:rPr>
                <w:sz w:val="20"/>
                <w:szCs w:val="20"/>
              </w:rPr>
              <w:t>Kirlilik Önlem Bedeli (TL)</w:t>
            </w:r>
          </w:p>
        </w:tc>
      </w:tr>
      <w:tr w:rsidR="003D357A" w:rsidTr="00596A99">
        <w:trPr>
          <w:trHeight w:val="1858"/>
        </w:trPr>
        <w:tc>
          <w:tcPr>
            <w:tcW w:w="550" w:type="dxa"/>
            <w:vAlign w:val="center"/>
          </w:tcPr>
          <w:p w:rsidR="00742630" w:rsidRDefault="00823EF2" w:rsidP="00742630">
            <w:pPr>
              <w:rPr>
                <w:sz w:val="20"/>
                <w:szCs w:val="20"/>
              </w:rPr>
            </w:pPr>
            <w:r>
              <w:rPr>
                <w:sz w:val="20"/>
                <w:szCs w:val="20"/>
              </w:rPr>
              <w:t>5</w:t>
            </w:r>
          </w:p>
        </w:tc>
        <w:tc>
          <w:tcPr>
            <w:tcW w:w="7242" w:type="dxa"/>
            <w:vAlign w:val="center"/>
          </w:tcPr>
          <w:p w:rsidR="00742630" w:rsidRDefault="00823EF2" w:rsidP="00742630">
            <w:pPr>
              <w:rPr>
                <w:rFonts w:cstheme="minorHAnsi"/>
              </w:rPr>
            </w:pPr>
            <w:r>
              <w:rPr>
                <w:rFonts w:cstheme="minorHAnsi"/>
              </w:rPr>
              <w:t>Denetim Esasları (Madde 17.5)</w:t>
            </w:r>
          </w:p>
          <w:p w:rsidR="00C013A1" w:rsidRPr="00C013A1" w:rsidRDefault="00823EF2" w:rsidP="00C013A1">
            <w:pPr>
              <w:rPr>
                <w:rFonts w:cstheme="minorHAnsi"/>
                <w:i/>
                <w:sz w:val="20"/>
              </w:rPr>
            </w:pPr>
            <w:r>
              <w:rPr>
                <w:rFonts w:cstheme="minorHAnsi"/>
                <w:i/>
                <w:sz w:val="20"/>
              </w:rPr>
              <w:t xml:space="preserve">“Katılımcı tarafından gerçekleştirilen ilave iyileştirmeler sonucunda uygunsuz sonuç elde edilen </w:t>
            </w:r>
            <w:r>
              <w:rPr>
                <w:rFonts w:cstheme="minorHAnsi"/>
                <w:i/>
                <w:sz w:val="20"/>
              </w:rPr>
              <w:t>parametre için uygunsuzluğun giderildiğinin yazılı bildirimi üzerine DOSAB yetkili personeli en geç 10 iş günü içinde Katılımcı’dan yeninden akredite laboratuvar tarafından numune alınmasını organize eder. Alınan numunenin analiz sonucunun uygun olmaması d</w:t>
            </w:r>
            <w:r>
              <w:rPr>
                <w:rFonts w:cstheme="minorHAnsi"/>
                <w:i/>
                <w:sz w:val="20"/>
              </w:rPr>
              <w:t>urumunda” (3. Kez uygunsuz olması durumunda)</w:t>
            </w:r>
          </w:p>
        </w:tc>
        <w:tc>
          <w:tcPr>
            <w:tcW w:w="6237" w:type="dxa"/>
            <w:vAlign w:val="center"/>
          </w:tcPr>
          <w:p w:rsidR="00742630" w:rsidRDefault="00823EF2" w:rsidP="00742630">
            <w:pPr>
              <w:jc w:val="center"/>
              <w:rPr>
                <w:sz w:val="20"/>
                <w:szCs w:val="20"/>
              </w:rPr>
            </w:pPr>
            <w:r>
              <w:rPr>
                <w:sz w:val="20"/>
                <w:szCs w:val="20"/>
              </w:rPr>
              <w:t>100 000 TL ve Atıksu Bağlantı İzninin İptali</w:t>
            </w:r>
          </w:p>
          <w:p w:rsidR="00742630" w:rsidRDefault="00823EF2" w:rsidP="00742630">
            <w:pPr>
              <w:jc w:val="center"/>
              <w:rPr>
                <w:sz w:val="20"/>
                <w:szCs w:val="20"/>
              </w:rPr>
            </w:pPr>
            <w:r>
              <w:rPr>
                <w:sz w:val="20"/>
                <w:szCs w:val="20"/>
              </w:rPr>
              <w:t>ya da</w:t>
            </w:r>
          </w:p>
          <w:p w:rsidR="00C013A1" w:rsidRDefault="00823EF2" w:rsidP="00C013A1">
            <w:pPr>
              <w:jc w:val="center"/>
              <w:rPr>
                <w:sz w:val="20"/>
                <w:szCs w:val="20"/>
              </w:rPr>
            </w:pPr>
            <w:r>
              <w:rPr>
                <w:sz w:val="20"/>
                <w:szCs w:val="20"/>
              </w:rPr>
              <w:t xml:space="preserve">Bir önceki Takvim Yılı içerisindeki </w:t>
            </w:r>
          </w:p>
          <w:p w:rsidR="00C013A1" w:rsidRDefault="00823EF2" w:rsidP="00C013A1">
            <w:pPr>
              <w:jc w:val="center"/>
              <w:rPr>
                <w:sz w:val="20"/>
                <w:szCs w:val="20"/>
              </w:rPr>
            </w:pPr>
            <w:r>
              <w:rPr>
                <w:sz w:val="20"/>
                <w:szCs w:val="20"/>
              </w:rPr>
              <w:t>En Yüksek Aylık</w:t>
            </w:r>
            <w:r>
              <w:t xml:space="preserve"> </w:t>
            </w:r>
            <w:r>
              <w:rPr>
                <w:sz w:val="20"/>
                <w:szCs w:val="20"/>
              </w:rPr>
              <w:t>Atıksu Hizmet Bedelinin 10 katı</w:t>
            </w:r>
          </w:p>
          <w:p w:rsidR="00C013A1" w:rsidRDefault="00823EF2" w:rsidP="00C013A1">
            <w:pPr>
              <w:jc w:val="center"/>
              <w:rPr>
                <w:sz w:val="20"/>
                <w:szCs w:val="20"/>
              </w:rPr>
            </w:pPr>
            <w:r>
              <w:rPr>
                <w:sz w:val="20"/>
                <w:szCs w:val="20"/>
              </w:rPr>
              <w:t xml:space="preserve"> ve </w:t>
            </w:r>
          </w:p>
          <w:p w:rsidR="003C42FB" w:rsidRDefault="00823EF2" w:rsidP="00C013A1">
            <w:pPr>
              <w:jc w:val="center"/>
              <w:rPr>
                <w:sz w:val="20"/>
                <w:szCs w:val="20"/>
              </w:rPr>
            </w:pPr>
            <w:r>
              <w:rPr>
                <w:sz w:val="20"/>
                <w:szCs w:val="20"/>
              </w:rPr>
              <w:t>Atıksu Bağlantı İzninin İptali</w:t>
            </w:r>
          </w:p>
        </w:tc>
      </w:tr>
      <w:tr w:rsidR="003D357A" w:rsidTr="00596A99">
        <w:trPr>
          <w:trHeight w:val="474"/>
        </w:trPr>
        <w:tc>
          <w:tcPr>
            <w:tcW w:w="14029" w:type="dxa"/>
            <w:gridSpan w:val="3"/>
            <w:vAlign w:val="center"/>
          </w:tcPr>
          <w:p w:rsidR="00742630" w:rsidRPr="00742630" w:rsidRDefault="00823EF2" w:rsidP="00742630">
            <w:pPr>
              <w:pStyle w:val="ListeParagraf"/>
              <w:numPr>
                <w:ilvl w:val="0"/>
                <w:numId w:val="3"/>
              </w:numPr>
              <w:jc w:val="center"/>
              <w:rPr>
                <w:sz w:val="20"/>
                <w:szCs w:val="20"/>
              </w:rPr>
            </w:pPr>
            <w:r>
              <w:rPr>
                <w:sz w:val="20"/>
                <w:szCs w:val="20"/>
              </w:rPr>
              <w:t>ÖNCELİKLİ GRUP</w:t>
            </w:r>
          </w:p>
        </w:tc>
      </w:tr>
      <w:tr w:rsidR="003D357A" w:rsidTr="00596A99">
        <w:trPr>
          <w:trHeight w:val="1842"/>
        </w:trPr>
        <w:tc>
          <w:tcPr>
            <w:tcW w:w="550" w:type="dxa"/>
            <w:vAlign w:val="center"/>
          </w:tcPr>
          <w:p w:rsidR="00742630" w:rsidRPr="003B3A8E" w:rsidRDefault="00823EF2" w:rsidP="00742630">
            <w:pPr>
              <w:rPr>
                <w:sz w:val="20"/>
                <w:szCs w:val="20"/>
              </w:rPr>
            </w:pPr>
            <w:r>
              <w:rPr>
                <w:sz w:val="20"/>
                <w:szCs w:val="20"/>
              </w:rPr>
              <w:t>6</w:t>
            </w:r>
          </w:p>
        </w:tc>
        <w:tc>
          <w:tcPr>
            <w:tcW w:w="7242" w:type="dxa"/>
            <w:vAlign w:val="center"/>
          </w:tcPr>
          <w:p w:rsidR="00742630" w:rsidRDefault="00823EF2" w:rsidP="00742630">
            <w:pPr>
              <w:rPr>
                <w:sz w:val="20"/>
                <w:szCs w:val="20"/>
              </w:rPr>
            </w:pPr>
            <w:r w:rsidRPr="003B3A8E">
              <w:rPr>
                <w:sz w:val="20"/>
                <w:szCs w:val="20"/>
              </w:rPr>
              <w:t xml:space="preserve">Kanalizasyon </w:t>
            </w:r>
            <w:r w:rsidRPr="003B3A8E">
              <w:rPr>
                <w:sz w:val="20"/>
                <w:szCs w:val="20"/>
              </w:rPr>
              <w:t>sistemine müdahale (Madde 5.1)</w:t>
            </w:r>
          </w:p>
          <w:p w:rsidR="005F3892" w:rsidRPr="005F3892" w:rsidRDefault="00823EF2" w:rsidP="00742630">
            <w:pPr>
              <w:rPr>
                <w:i/>
                <w:sz w:val="20"/>
                <w:szCs w:val="20"/>
              </w:rPr>
            </w:pPr>
            <w:r>
              <w:rPr>
                <w:rFonts w:eastAsia="Times New Roman" w:cstheme="minorHAnsi"/>
                <w:bCs/>
                <w:i/>
                <w:sz w:val="20"/>
              </w:rPr>
              <w:t>“DOSAB’ın yazılı izni olmadıkça yetkisiz hiçbir resmi ve özel kişi ve/veya kuruluş tarafından kanalizasyon sistemine müdahale edilemez, kanalizasyon bacalarının kapakları açılamaz, kilitlenemez, geçtiği yerler kazılamaz, kana</w:t>
            </w:r>
            <w:r>
              <w:rPr>
                <w:rFonts w:eastAsia="Times New Roman" w:cstheme="minorHAnsi"/>
                <w:bCs/>
                <w:i/>
                <w:sz w:val="20"/>
              </w:rPr>
              <w:t>lizasyon sisteminin yerleri değiştirilemez, bağlantı kanalları yapılamaz ve kanalizasyon sistemine bağlanılamaz. Herhangi bir amaç ile kanalizasyon sisteminden su alınamaz.”</w:t>
            </w:r>
          </w:p>
        </w:tc>
        <w:tc>
          <w:tcPr>
            <w:tcW w:w="6237" w:type="dxa"/>
            <w:vAlign w:val="center"/>
          </w:tcPr>
          <w:p w:rsidR="00742630" w:rsidRDefault="00823EF2" w:rsidP="003C42FB">
            <w:pPr>
              <w:jc w:val="center"/>
              <w:rPr>
                <w:sz w:val="20"/>
                <w:szCs w:val="20"/>
              </w:rPr>
            </w:pPr>
            <w:r>
              <w:rPr>
                <w:sz w:val="20"/>
                <w:szCs w:val="20"/>
              </w:rPr>
              <w:t>50 000 TL</w:t>
            </w:r>
          </w:p>
          <w:p w:rsidR="00742630" w:rsidRDefault="00823EF2" w:rsidP="003C42FB">
            <w:pPr>
              <w:jc w:val="center"/>
              <w:rPr>
                <w:sz w:val="20"/>
                <w:szCs w:val="20"/>
              </w:rPr>
            </w:pPr>
            <w:r>
              <w:rPr>
                <w:sz w:val="20"/>
                <w:szCs w:val="20"/>
              </w:rPr>
              <w:t>ya da</w:t>
            </w:r>
          </w:p>
          <w:p w:rsidR="00C013A1" w:rsidRDefault="00823EF2" w:rsidP="003C42FB">
            <w:pPr>
              <w:jc w:val="center"/>
              <w:rPr>
                <w:sz w:val="20"/>
                <w:szCs w:val="20"/>
              </w:rPr>
            </w:pPr>
            <w:r>
              <w:rPr>
                <w:sz w:val="20"/>
                <w:szCs w:val="20"/>
              </w:rPr>
              <w:t>Bir önceki Takvim Yılı içerisindeki</w:t>
            </w:r>
          </w:p>
          <w:p w:rsidR="00742630" w:rsidRDefault="00823EF2" w:rsidP="003C42FB">
            <w:pPr>
              <w:jc w:val="center"/>
              <w:rPr>
                <w:sz w:val="20"/>
                <w:szCs w:val="20"/>
              </w:rPr>
            </w:pPr>
            <w:r>
              <w:rPr>
                <w:sz w:val="20"/>
                <w:szCs w:val="20"/>
              </w:rPr>
              <w:t xml:space="preserve"> En Yüksek Aylık</w:t>
            </w:r>
            <w:r>
              <w:t xml:space="preserve"> </w:t>
            </w:r>
            <w:r>
              <w:rPr>
                <w:sz w:val="20"/>
                <w:szCs w:val="20"/>
              </w:rPr>
              <w:t>Atıksu Hizmet</w:t>
            </w:r>
            <w:r>
              <w:rPr>
                <w:sz w:val="20"/>
                <w:szCs w:val="20"/>
              </w:rPr>
              <w:t xml:space="preserve"> Bedelinin 5 katı</w:t>
            </w:r>
          </w:p>
        </w:tc>
      </w:tr>
      <w:tr w:rsidR="003D357A" w:rsidTr="00596A99">
        <w:trPr>
          <w:trHeight w:val="1414"/>
        </w:trPr>
        <w:tc>
          <w:tcPr>
            <w:tcW w:w="550" w:type="dxa"/>
            <w:vAlign w:val="center"/>
          </w:tcPr>
          <w:p w:rsidR="00742630" w:rsidRPr="003B3A8E" w:rsidRDefault="00823EF2" w:rsidP="00742630">
            <w:pPr>
              <w:rPr>
                <w:sz w:val="20"/>
                <w:szCs w:val="20"/>
              </w:rPr>
            </w:pPr>
            <w:r>
              <w:rPr>
                <w:sz w:val="20"/>
                <w:szCs w:val="20"/>
              </w:rPr>
              <w:t>7</w:t>
            </w:r>
          </w:p>
        </w:tc>
        <w:tc>
          <w:tcPr>
            <w:tcW w:w="7242" w:type="dxa"/>
            <w:vAlign w:val="center"/>
          </w:tcPr>
          <w:p w:rsidR="00742630" w:rsidRDefault="00823EF2" w:rsidP="00742630">
            <w:pPr>
              <w:rPr>
                <w:sz w:val="20"/>
                <w:szCs w:val="20"/>
              </w:rPr>
            </w:pPr>
            <w:r>
              <w:rPr>
                <w:sz w:val="20"/>
                <w:szCs w:val="20"/>
              </w:rPr>
              <w:t>Yağmur suyu kanalına müdahale (Madde 6.2)</w:t>
            </w:r>
          </w:p>
          <w:p w:rsidR="005F3892" w:rsidRPr="005F3892" w:rsidRDefault="00823EF2" w:rsidP="00742630">
            <w:pPr>
              <w:rPr>
                <w:i/>
                <w:sz w:val="20"/>
                <w:szCs w:val="20"/>
              </w:rPr>
            </w:pPr>
            <w:r w:rsidRPr="005F3892">
              <w:rPr>
                <w:rFonts w:cstheme="minorHAnsi"/>
                <w:i/>
                <w:sz w:val="20"/>
              </w:rPr>
              <w:t>“Yağmur suyu hatlarına hiçbir şekilde atık su deşarjı yapılamaz. Katılımcının yağmur suyu kanallarına veya yağmur sularının deşarj edileceği kanallara atık su deşarj ettiği tespiti durumu tutan</w:t>
            </w:r>
            <w:r w:rsidRPr="005F3892">
              <w:rPr>
                <w:rFonts w:cstheme="minorHAnsi"/>
                <w:i/>
                <w:sz w:val="20"/>
              </w:rPr>
              <w:t>akla kayıt altına alınır.”</w:t>
            </w:r>
          </w:p>
        </w:tc>
        <w:tc>
          <w:tcPr>
            <w:tcW w:w="6237" w:type="dxa"/>
            <w:vAlign w:val="center"/>
          </w:tcPr>
          <w:p w:rsidR="00742630" w:rsidRDefault="00823EF2" w:rsidP="003C42FB">
            <w:pPr>
              <w:jc w:val="center"/>
              <w:rPr>
                <w:sz w:val="20"/>
                <w:szCs w:val="20"/>
              </w:rPr>
            </w:pPr>
            <w:r>
              <w:rPr>
                <w:sz w:val="20"/>
                <w:szCs w:val="20"/>
              </w:rPr>
              <w:t>50 000 TL</w:t>
            </w:r>
          </w:p>
          <w:p w:rsidR="00742630" w:rsidRDefault="00823EF2" w:rsidP="003C42FB">
            <w:pPr>
              <w:jc w:val="center"/>
              <w:rPr>
                <w:sz w:val="20"/>
                <w:szCs w:val="20"/>
              </w:rPr>
            </w:pPr>
            <w:r>
              <w:rPr>
                <w:sz w:val="20"/>
                <w:szCs w:val="20"/>
              </w:rPr>
              <w:t>ya da</w:t>
            </w:r>
          </w:p>
          <w:p w:rsidR="00C013A1" w:rsidRDefault="00823EF2" w:rsidP="003C42FB">
            <w:pPr>
              <w:jc w:val="center"/>
              <w:rPr>
                <w:sz w:val="20"/>
                <w:szCs w:val="20"/>
              </w:rPr>
            </w:pPr>
            <w:r w:rsidRPr="00136CAE">
              <w:rPr>
                <w:sz w:val="20"/>
                <w:szCs w:val="20"/>
              </w:rPr>
              <w:t xml:space="preserve">İlk tespitte bir önceki Takvim Yılı içerisindeki </w:t>
            </w:r>
          </w:p>
          <w:p w:rsidR="00C013A1" w:rsidRDefault="00823EF2" w:rsidP="003C42FB">
            <w:pPr>
              <w:jc w:val="center"/>
              <w:rPr>
                <w:sz w:val="20"/>
                <w:szCs w:val="20"/>
              </w:rPr>
            </w:pPr>
            <w:r w:rsidRPr="00136CAE">
              <w:rPr>
                <w:sz w:val="20"/>
                <w:szCs w:val="20"/>
              </w:rPr>
              <w:t>En Yüksek Aylık</w:t>
            </w:r>
            <w:r>
              <w:t xml:space="preserve"> </w:t>
            </w:r>
            <w:r>
              <w:rPr>
                <w:sz w:val="20"/>
                <w:szCs w:val="20"/>
              </w:rPr>
              <w:t xml:space="preserve">Atıksu Hizmet Bedelinin 3 katı, </w:t>
            </w:r>
          </w:p>
          <w:p w:rsidR="00742630" w:rsidRPr="00136CAE" w:rsidRDefault="00823EF2" w:rsidP="003C42FB">
            <w:pPr>
              <w:jc w:val="center"/>
              <w:rPr>
                <w:sz w:val="20"/>
                <w:szCs w:val="20"/>
              </w:rPr>
            </w:pPr>
            <w:r>
              <w:rPr>
                <w:sz w:val="20"/>
                <w:szCs w:val="20"/>
              </w:rPr>
              <w:t>Sonraki tespitlerde 5 katı</w:t>
            </w:r>
          </w:p>
        </w:tc>
      </w:tr>
      <w:tr w:rsidR="003D357A" w:rsidTr="00596A99">
        <w:trPr>
          <w:trHeight w:val="1407"/>
        </w:trPr>
        <w:tc>
          <w:tcPr>
            <w:tcW w:w="550" w:type="dxa"/>
            <w:vAlign w:val="center"/>
          </w:tcPr>
          <w:p w:rsidR="00742630" w:rsidRDefault="00823EF2" w:rsidP="00742630">
            <w:pPr>
              <w:rPr>
                <w:sz w:val="20"/>
                <w:szCs w:val="20"/>
              </w:rPr>
            </w:pPr>
            <w:r>
              <w:rPr>
                <w:sz w:val="20"/>
                <w:szCs w:val="20"/>
              </w:rPr>
              <w:t>8</w:t>
            </w:r>
          </w:p>
        </w:tc>
        <w:tc>
          <w:tcPr>
            <w:tcW w:w="7242" w:type="dxa"/>
            <w:vAlign w:val="center"/>
          </w:tcPr>
          <w:p w:rsidR="00742630" w:rsidRDefault="00823EF2" w:rsidP="00742630">
            <w:pPr>
              <w:rPr>
                <w:sz w:val="20"/>
                <w:szCs w:val="20"/>
              </w:rPr>
            </w:pPr>
            <w:r>
              <w:rPr>
                <w:sz w:val="20"/>
                <w:szCs w:val="20"/>
              </w:rPr>
              <w:t>Proses dışı atıksuların deşarjı ve seyreltme (Madde 7.2)</w:t>
            </w:r>
          </w:p>
          <w:p w:rsidR="005F3892" w:rsidRPr="005F3892" w:rsidRDefault="00823EF2" w:rsidP="00742630">
            <w:pPr>
              <w:rPr>
                <w:i/>
                <w:sz w:val="20"/>
                <w:szCs w:val="20"/>
              </w:rPr>
            </w:pPr>
            <w:r>
              <w:rPr>
                <w:rFonts w:cstheme="minorHAnsi"/>
                <w:i/>
                <w:sz w:val="20"/>
              </w:rPr>
              <w:t xml:space="preserve">“Bu talimatta belirtilen </w:t>
            </w:r>
            <w:r>
              <w:rPr>
                <w:rFonts w:cstheme="minorHAnsi"/>
                <w:i/>
                <w:sz w:val="20"/>
              </w:rPr>
              <w:t>atık su deşarj standartlarını (Tablo 1) sağlamak amacı ile atık suların kirlilik ihtiva etmeyen sular (soğutma suları, yağmur suları, vb. proses dışı atık sular) ile seyreltilmesi yasaktır.”</w:t>
            </w:r>
          </w:p>
        </w:tc>
        <w:tc>
          <w:tcPr>
            <w:tcW w:w="6237" w:type="dxa"/>
            <w:vAlign w:val="center"/>
          </w:tcPr>
          <w:p w:rsidR="003C42FB" w:rsidRDefault="003C42FB" w:rsidP="00742630">
            <w:pPr>
              <w:jc w:val="center"/>
              <w:rPr>
                <w:sz w:val="20"/>
                <w:szCs w:val="20"/>
              </w:rPr>
            </w:pPr>
          </w:p>
          <w:p w:rsidR="00742630" w:rsidRDefault="00823EF2" w:rsidP="00742630">
            <w:pPr>
              <w:jc w:val="center"/>
              <w:rPr>
                <w:sz w:val="20"/>
                <w:szCs w:val="20"/>
              </w:rPr>
            </w:pPr>
            <w:r>
              <w:rPr>
                <w:sz w:val="20"/>
                <w:szCs w:val="20"/>
              </w:rPr>
              <w:t>50 000 TL</w:t>
            </w:r>
          </w:p>
          <w:p w:rsidR="00742630" w:rsidRDefault="00823EF2" w:rsidP="00742630">
            <w:pPr>
              <w:jc w:val="center"/>
              <w:rPr>
                <w:sz w:val="20"/>
                <w:szCs w:val="20"/>
              </w:rPr>
            </w:pPr>
            <w:r>
              <w:rPr>
                <w:sz w:val="20"/>
                <w:szCs w:val="20"/>
              </w:rPr>
              <w:t>ya da</w:t>
            </w:r>
          </w:p>
          <w:p w:rsidR="00C013A1" w:rsidRDefault="00823EF2" w:rsidP="00742630">
            <w:pPr>
              <w:jc w:val="center"/>
              <w:rPr>
                <w:sz w:val="20"/>
                <w:szCs w:val="20"/>
              </w:rPr>
            </w:pPr>
            <w:r>
              <w:rPr>
                <w:sz w:val="20"/>
                <w:szCs w:val="20"/>
              </w:rPr>
              <w:t xml:space="preserve">Bir önceki Takvim Yılı içerisindeki </w:t>
            </w:r>
          </w:p>
          <w:p w:rsidR="00A717C8" w:rsidRDefault="00823EF2" w:rsidP="00742630">
            <w:pPr>
              <w:jc w:val="center"/>
              <w:rPr>
                <w:sz w:val="20"/>
                <w:szCs w:val="20"/>
              </w:rPr>
            </w:pPr>
            <w:r>
              <w:rPr>
                <w:sz w:val="20"/>
                <w:szCs w:val="20"/>
              </w:rPr>
              <w:t>En Yüksek A</w:t>
            </w:r>
            <w:r>
              <w:rPr>
                <w:sz w:val="20"/>
                <w:szCs w:val="20"/>
              </w:rPr>
              <w:t>ylık</w:t>
            </w:r>
            <w:r>
              <w:t xml:space="preserve"> </w:t>
            </w:r>
            <w:r>
              <w:rPr>
                <w:sz w:val="20"/>
                <w:szCs w:val="20"/>
              </w:rPr>
              <w:t>Atıksu Hizmet Bedelinin 5 katı</w:t>
            </w:r>
          </w:p>
          <w:p w:rsidR="00A717C8" w:rsidRDefault="00A717C8" w:rsidP="00742630">
            <w:pPr>
              <w:jc w:val="center"/>
              <w:rPr>
                <w:sz w:val="20"/>
                <w:szCs w:val="20"/>
              </w:rPr>
            </w:pPr>
          </w:p>
        </w:tc>
      </w:tr>
      <w:tr w:rsidR="003D357A" w:rsidTr="00596A99">
        <w:trPr>
          <w:trHeight w:val="1691"/>
        </w:trPr>
        <w:tc>
          <w:tcPr>
            <w:tcW w:w="550" w:type="dxa"/>
            <w:vAlign w:val="center"/>
          </w:tcPr>
          <w:p w:rsidR="00742630" w:rsidRDefault="00823EF2" w:rsidP="00742630">
            <w:pPr>
              <w:rPr>
                <w:sz w:val="20"/>
                <w:szCs w:val="20"/>
              </w:rPr>
            </w:pPr>
            <w:r>
              <w:rPr>
                <w:sz w:val="20"/>
                <w:szCs w:val="20"/>
              </w:rPr>
              <w:t>9</w:t>
            </w:r>
          </w:p>
        </w:tc>
        <w:tc>
          <w:tcPr>
            <w:tcW w:w="7242" w:type="dxa"/>
            <w:vAlign w:val="center"/>
          </w:tcPr>
          <w:p w:rsidR="00596A99" w:rsidRDefault="00823EF2" w:rsidP="00742630">
            <w:pPr>
              <w:rPr>
                <w:rFonts w:cstheme="minorHAnsi"/>
              </w:rPr>
            </w:pPr>
            <w:r>
              <w:rPr>
                <w:rFonts w:cstheme="minorHAnsi"/>
              </w:rPr>
              <w:t xml:space="preserve">Atıksu Debimetre istasyonu teknik şartları (Madde 14.12) </w:t>
            </w:r>
          </w:p>
          <w:p w:rsidR="00742630" w:rsidRDefault="00823EF2" w:rsidP="00742630">
            <w:pPr>
              <w:rPr>
                <w:rFonts w:cstheme="minorHAnsi"/>
              </w:rPr>
            </w:pPr>
            <w:r w:rsidRPr="005F3892">
              <w:rPr>
                <w:rFonts w:cstheme="minorHAnsi"/>
                <w:bCs/>
                <w:i/>
                <w:sz w:val="20"/>
              </w:rPr>
              <w:t xml:space="preserve">“Atıksu Debimetre İstasyonuna müdahale ederek ölçümünü engelleyen ve/veya atıksu debimetre istasyonunda ölçüm yapılmadan atıksu deşarjı yapan Katılımcı </w:t>
            </w:r>
            <w:r w:rsidRPr="005F3892">
              <w:rPr>
                <w:rFonts w:cstheme="minorHAnsi"/>
                <w:bCs/>
                <w:i/>
                <w:sz w:val="20"/>
              </w:rPr>
              <w:t>firmalar”</w:t>
            </w:r>
            <w:r w:rsidRPr="005F3892">
              <w:rPr>
                <w:rFonts w:cstheme="minorHAnsi"/>
                <w:sz w:val="20"/>
              </w:rPr>
              <w:t xml:space="preserve">     </w:t>
            </w:r>
          </w:p>
        </w:tc>
        <w:tc>
          <w:tcPr>
            <w:tcW w:w="6237" w:type="dxa"/>
            <w:vAlign w:val="center"/>
          </w:tcPr>
          <w:p w:rsidR="003C42FB" w:rsidRDefault="003C42FB" w:rsidP="00742630">
            <w:pPr>
              <w:jc w:val="center"/>
              <w:rPr>
                <w:sz w:val="20"/>
                <w:szCs w:val="20"/>
              </w:rPr>
            </w:pPr>
          </w:p>
          <w:p w:rsidR="00742630" w:rsidRDefault="00823EF2" w:rsidP="00742630">
            <w:pPr>
              <w:jc w:val="center"/>
              <w:rPr>
                <w:sz w:val="20"/>
                <w:szCs w:val="20"/>
              </w:rPr>
            </w:pPr>
            <w:r>
              <w:rPr>
                <w:sz w:val="20"/>
                <w:szCs w:val="20"/>
              </w:rPr>
              <w:t>50 000 TL</w:t>
            </w:r>
          </w:p>
          <w:p w:rsidR="00742630" w:rsidRDefault="00823EF2" w:rsidP="00742630">
            <w:pPr>
              <w:jc w:val="center"/>
              <w:rPr>
                <w:sz w:val="20"/>
                <w:szCs w:val="20"/>
              </w:rPr>
            </w:pPr>
            <w:r>
              <w:rPr>
                <w:sz w:val="20"/>
                <w:szCs w:val="20"/>
              </w:rPr>
              <w:t>ya da</w:t>
            </w:r>
          </w:p>
          <w:p w:rsidR="00C013A1" w:rsidRDefault="00823EF2" w:rsidP="00742630">
            <w:pPr>
              <w:jc w:val="center"/>
              <w:rPr>
                <w:sz w:val="20"/>
                <w:szCs w:val="20"/>
              </w:rPr>
            </w:pPr>
            <w:r>
              <w:rPr>
                <w:sz w:val="20"/>
                <w:szCs w:val="20"/>
              </w:rPr>
              <w:t>Bir önceki Takvim Yılı içerisindeki</w:t>
            </w:r>
          </w:p>
          <w:p w:rsidR="00742630" w:rsidRDefault="00823EF2" w:rsidP="00742630">
            <w:pPr>
              <w:jc w:val="center"/>
              <w:rPr>
                <w:sz w:val="20"/>
                <w:szCs w:val="20"/>
              </w:rPr>
            </w:pPr>
            <w:r>
              <w:rPr>
                <w:sz w:val="20"/>
                <w:szCs w:val="20"/>
              </w:rPr>
              <w:t xml:space="preserve"> En Yüksek Aylık</w:t>
            </w:r>
            <w:r>
              <w:t xml:space="preserve"> </w:t>
            </w:r>
            <w:r>
              <w:rPr>
                <w:sz w:val="20"/>
                <w:szCs w:val="20"/>
              </w:rPr>
              <w:t>Atıksu Hizmet Bedelinin 5 katı</w:t>
            </w:r>
          </w:p>
          <w:p w:rsidR="00F205E4" w:rsidRDefault="00F205E4" w:rsidP="00742630">
            <w:pPr>
              <w:jc w:val="center"/>
              <w:rPr>
                <w:sz w:val="20"/>
                <w:szCs w:val="20"/>
              </w:rPr>
            </w:pPr>
          </w:p>
        </w:tc>
      </w:tr>
      <w:tr w:rsidR="003D357A" w:rsidTr="00596A99">
        <w:trPr>
          <w:trHeight w:val="582"/>
        </w:trPr>
        <w:tc>
          <w:tcPr>
            <w:tcW w:w="550" w:type="dxa"/>
            <w:vAlign w:val="center"/>
          </w:tcPr>
          <w:p w:rsidR="00596A99" w:rsidRDefault="00823EF2" w:rsidP="00596A99">
            <w:pPr>
              <w:jc w:val="center"/>
              <w:rPr>
                <w:sz w:val="20"/>
                <w:szCs w:val="20"/>
              </w:rPr>
            </w:pPr>
            <w:bookmarkStart w:id="2" w:name="_Hlk99705688"/>
            <w:r w:rsidRPr="00C013A1">
              <w:rPr>
                <w:sz w:val="20"/>
                <w:szCs w:val="20"/>
              </w:rPr>
              <w:lastRenderedPageBreak/>
              <w:t>Sıra No</w:t>
            </w:r>
          </w:p>
        </w:tc>
        <w:tc>
          <w:tcPr>
            <w:tcW w:w="7242" w:type="dxa"/>
            <w:vAlign w:val="center"/>
          </w:tcPr>
          <w:p w:rsidR="00596A99" w:rsidRDefault="00823EF2" w:rsidP="00596A99">
            <w:pPr>
              <w:jc w:val="center"/>
              <w:rPr>
                <w:rFonts w:cstheme="minorHAnsi"/>
              </w:rPr>
            </w:pPr>
            <w:r w:rsidRPr="00C013A1">
              <w:rPr>
                <w:sz w:val="20"/>
                <w:szCs w:val="20"/>
              </w:rPr>
              <w:t>Atıksu Altyapı Talimatı İhlal Durumu</w:t>
            </w:r>
          </w:p>
        </w:tc>
        <w:tc>
          <w:tcPr>
            <w:tcW w:w="6237" w:type="dxa"/>
            <w:vAlign w:val="center"/>
          </w:tcPr>
          <w:p w:rsidR="00596A99" w:rsidRPr="00742630" w:rsidRDefault="00823EF2" w:rsidP="00596A99">
            <w:pPr>
              <w:jc w:val="center"/>
              <w:rPr>
                <w:sz w:val="20"/>
                <w:szCs w:val="20"/>
              </w:rPr>
            </w:pPr>
            <w:r w:rsidRPr="00C013A1">
              <w:rPr>
                <w:sz w:val="20"/>
                <w:szCs w:val="20"/>
              </w:rPr>
              <w:t>Kirlilik Önlem Bedeli (TL)</w:t>
            </w:r>
          </w:p>
        </w:tc>
      </w:tr>
      <w:tr w:rsidR="003D357A" w:rsidTr="00596A99">
        <w:trPr>
          <w:trHeight w:val="1271"/>
        </w:trPr>
        <w:tc>
          <w:tcPr>
            <w:tcW w:w="550" w:type="dxa"/>
            <w:vAlign w:val="center"/>
          </w:tcPr>
          <w:p w:rsidR="00596A99" w:rsidRPr="00C013A1" w:rsidRDefault="00823EF2" w:rsidP="00596A99">
            <w:pPr>
              <w:jc w:val="center"/>
              <w:rPr>
                <w:sz w:val="20"/>
                <w:szCs w:val="20"/>
              </w:rPr>
            </w:pPr>
            <w:bookmarkStart w:id="3" w:name="_Hlk99705589"/>
            <w:bookmarkEnd w:id="2"/>
            <w:r>
              <w:rPr>
                <w:sz w:val="20"/>
                <w:szCs w:val="20"/>
              </w:rPr>
              <w:t>10</w:t>
            </w:r>
          </w:p>
        </w:tc>
        <w:tc>
          <w:tcPr>
            <w:tcW w:w="7242" w:type="dxa"/>
            <w:vAlign w:val="center"/>
          </w:tcPr>
          <w:p w:rsidR="00596A99" w:rsidRDefault="00823EF2" w:rsidP="00596A99">
            <w:pPr>
              <w:rPr>
                <w:rFonts w:cstheme="minorHAnsi"/>
              </w:rPr>
            </w:pPr>
            <w:r>
              <w:rPr>
                <w:rFonts w:cstheme="minorHAnsi"/>
              </w:rPr>
              <w:t xml:space="preserve">Atıksu Debimetre istasyonu teknik şartları (Madde 14.13)     </w:t>
            </w:r>
          </w:p>
          <w:p w:rsidR="00596A99" w:rsidRPr="00C013A1" w:rsidRDefault="00823EF2" w:rsidP="00596A99">
            <w:pPr>
              <w:rPr>
                <w:sz w:val="20"/>
                <w:szCs w:val="20"/>
              </w:rPr>
            </w:pPr>
            <w:r>
              <w:rPr>
                <w:rFonts w:cstheme="minorHAnsi"/>
              </w:rPr>
              <w:t>“</w:t>
            </w:r>
            <w:r w:rsidRPr="005F3892">
              <w:rPr>
                <w:rFonts w:cstheme="minorHAnsi"/>
                <w:bCs/>
                <w:i/>
                <w:sz w:val="20"/>
              </w:rPr>
              <w:t>DOSAB haricinde su temini yaptığı halde DOSAB’a haber vermeyen Atıksu Debimetre İstasyonu olmayan katılımcılar kaçak atıksu deşarjı etmiş sayılır.</w:t>
            </w:r>
            <w:r w:rsidRPr="005F3892">
              <w:rPr>
                <w:rFonts w:cstheme="minorHAnsi"/>
                <w:sz w:val="20"/>
              </w:rPr>
              <w:t xml:space="preserve">”        </w:t>
            </w:r>
          </w:p>
        </w:tc>
        <w:tc>
          <w:tcPr>
            <w:tcW w:w="6237" w:type="dxa"/>
            <w:vAlign w:val="center"/>
          </w:tcPr>
          <w:p w:rsidR="00596A99" w:rsidRDefault="00823EF2" w:rsidP="00596A99">
            <w:pPr>
              <w:jc w:val="center"/>
              <w:rPr>
                <w:sz w:val="20"/>
                <w:szCs w:val="20"/>
              </w:rPr>
            </w:pPr>
            <w:r>
              <w:rPr>
                <w:sz w:val="20"/>
                <w:szCs w:val="20"/>
              </w:rPr>
              <w:t>50 000 TL</w:t>
            </w:r>
          </w:p>
          <w:p w:rsidR="00596A99" w:rsidRDefault="00823EF2" w:rsidP="00596A99">
            <w:pPr>
              <w:jc w:val="center"/>
              <w:rPr>
                <w:sz w:val="20"/>
                <w:szCs w:val="20"/>
              </w:rPr>
            </w:pPr>
            <w:r>
              <w:rPr>
                <w:sz w:val="20"/>
                <w:szCs w:val="20"/>
              </w:rPr>
              <w:t>ya da</w:t>
            </w:r>
          </w:p>
          <w:p w:rsidR="00596A99" w:rsidRDefault="00823EF2" w:rsidP="00596A99">
            <w:pPr>
              <w:jc w:val="center"/>
              <w:rPr>
                <w:sz w:val="20"/>
                <w:szCs w:val="20"/>
              </w:rPr>
            </w:pPr>
            <w:r w:rsidRPr="00742630">
              <w:rPr>
                <w:sz w:val="20"/>
                <w:szCs w:val="20"/>
              </w:rPr>
              <w:t xml:space="preserve">Bir önceki Takvim Yılı içerisindeki </w:t>
            </w:r>
          </w:p>
          <w:p w:rsidR="00596A99" w:rsidRPr="00C013A1" w:rsidRDefault="00823EF2" w:rsidP="00596A99">
            <w:pPr>
              <w:jc w:val="center"/>
              <w:rPr>
                <w:sz w:val="20"/>
                <w:szCs w:val="20"/>
              </w:rPr>
            </w:pPr>
            <w:r w:rsidRPr="00742630">
              <w:rPr>
                <w:sz w:val="20"/>
                <w:szCs w:val="20"/>
              </w:rPr>
              <w:t>En Yüksek Aylık Atıksu Hizmet Bedelinin 5 katı</w:t>
            </w:r>
          </w:p>
        </w:tc>
      </w:tr>
      <w:bookmarkEnd w:id="3"/>
      <w:tr w:rsidR="003D357A" w:rsidTr="00596A99">
        <w:trPr>
          <w:trHeight w:val="2253"/>
        </w:trPr>
        <w:tc>
          <w:tcPr>
            <w:tcW w:w="550" w:type="dxa"/>
            <w:vAlign w:val="center"/>
          </w:tcPr>
          <w:p w:rsidR="00596A99" w:rsidRDefault="00823EF2" w:rsidP="00596A99">
            <w:pPr>
              <w:rPr>
                <w:sz w:val="20"/>
                <w:szCs w:val="20"/>
              </w:rPr>
            </w:pPr>
            <w:r>
              <w:rPr>
                <w:sz w:val="20"/>
                <w:szCs w:val="20"/>
              </w:rPr>
              <w:t>11</w:t>
            </w:r>
          </w:p>
        </w:tc>
        <w:tc>
          <w:tcPr>
            <w:tcW w:w="7242" w:type="dxa"/>
            <w:vAlign w:val="center"/>
          </w:tcPr>
          <w:p w:rsidR="00596A99" w:rsidRDefault="00823EF2" w:rsidP="00596A99">
            <w:pPr>
              <w:rPr>
                <w:rFonts w:cstheme="minorHAnsi"/>
              </w:rPr>
            </w:pPr>
            <w:r>
              <w:rPr>
                <w:rFonts w:cstheme="minorHAnsi"/>
              </w:rPr>
              <w:t xml:space="preserve">Denetim Esasları (Madde 17.4)                                                      </w:t>
            </w:r>
          </w:p>
          <w:p w:rsidR="00596A99" w:rsidRDefault="00823EF2" w:rsidP="00596A99">
            <w:pPr>
              <w:rPr>
                <w:rFonts w:cstheme="minorHAnsi"/>
              </w:rPr>
            </w:pPr>
            <w:r>
              <w:rPr>
                <w:rFonts w:cstheme="minorHAnsi"/>
              </w:rPr>
              <w:t>“</w:t>
            </w:r>
            <w:r w:rsidRPr="005F3892">
              <w:rPr>
                <w:rFonts w:cstheme="minorHAnsi"/>
                <w:i/>
                <w:sz w:val="20"/>
              </w:rPr>
              <w:t>Katılımcı gerekli iyileştirmeleri yaptırmak zorundadır. Katılımcı tarafından uygunsuz sonuç elde edilen parametre/parametrelerce uygunsuzluğun giderildiğinin yazılı bildirimi üzerine DOSAB yetkili personeli en geç 10 iş günü içinde Katılımcı’dan yeninden a</w:t>
            </w:r>
            <w:r w:rsidRPr="005F3892">
              <w:rPr>
                <w:rFonts w:cstheme="minorHAnsi"/>
                <w:i/>
                <w:sz w:val="20"/>
              </w:rPr>
              <w:t xml:space="preserve">kredite laboratuvar tarafından numune alınmasını organize eder. Alınan numunenin analiz sonucunun uygun olmaması durumunda Katılımcıya ilgili parametre/parametrelerce uygunsuzluğun giderilmesi için 15 gün ek süre verilir” </w:t>
            </w:r>
            <w:r w:rsidRPr="005F3892">
              <w:rPr>
                <w:rFonts w:cstheme="minorHAnsi"/>
                <w:i/>
                <w:sz w:val="18"/>
              </w:rPr>
              <w:t>(2. Uygunsuzluk durumunda)</w:t>
            </w:r>
          </w:p>
        </w:tc>
        <w:tc>
          <w:tcPr>
            <w:tcW w:w="6237" w:type="dxa"/>
            <w:vAlign w:val="center"/>
          </w:tcPr>
          <w:p w:rsidR="00596A99" w:rsidRDefault="00823EF2" w:rsidP="00596A99">
            <w:pPr>
              <w:jc w:val="center"/>
              <w:rPr>
                <w:sz w:val="20"/>
                <w:szCs w:val="20"/>
              </w:rPr>
            </w:pPr>
            <w:r>
              <w:rPr>
                <w:sz w:val="20"/>
                <w:szCs w:val="20"/>
              </w:rPr>
              <w:t xml:space="preserve">50 000 </w:t>
            </w:r>
            <w:r>
              <w:rPr>
                <w:sz w:val="20"/>
                <w:szCs w:val="20"/>
              </w:rPr>
              <w:t>TL</w:t>
            </w:r>
          </w:p>
          <w:p w:rsidR="00596A99" w:rsidRDefault="00823EF2" w:rsidP="00596A99">
            <w:pPr>
              <w:jc w:val="center"/>
              <w:rPr>
                <w:sz w:val="20"/>
                <w:szCs w:val="20"/>
              </w:rPr>
            </w:pPr>
            <w:r>
              <w:rPr>
                <w:sz w:val="20"/>
                <w:szCs w:val="20"/>
              </w:rPr>
              <w:t>ya da</w:t>
            </w:r>
          </w:p>
          <w:p w:rsidR="00596A99" w:rsidRDefault="00823EF2" w:rsidP="00596A99">
            <w:pPr>
              <w:jc w:val="center"/>
              <w:rPr>
                <w:sz w:val="20"/>
                <w:szCs w:val="20"/>
              </w:rPr>
            </w:pPr>
            <w:r>
              <w:rPr>
                <w:sz w:val="20"/>
                <w:szCs w:val="20"/>
              </w:rPr>
              <w:t xml:space="preserve">Bir önceki Takvim Yılı içerisindeki </w:t>
            </w:r>
          </w:p>
          <w:p w:rsidR="00596A99" w:rsidRDefault="00823EF2" w:rsidP="00596A99">
            <w:pPr>
              <w:jc w:val="center"/>
              <w:rPr>
                <w:sz w:val="20"/>
                <w:szCs w:val="20"/>
              </w:rPr>
            </w:pPr>
            <w:r>
              <w:rPr>
                <w:sz w:val="20"/>
                <w:szCs w:val="20"/>
              </w:rPr>
              <w:t>En Yüksek Aylık</w:t>
            </w:r>
            <w:r>
              <w:t xml:space="preserve"> </w:t>
            </w:r>
            <w:r>
              <w:rPr>
                <w:sz w:val="20"/>
                <w:szCs w:val="20"/>
              </w:rPr>
              <w:t>Atıksu Hizmet Bedelinin 5 katı</w:t>
            </w:r>
          </w:p>
        </w:tc>
      </w:tr>
      <w:tr w:rsidR="003D357A" w:rsidTr="00596A99">
        <w:trPr>
          <w:trHeight w:val="2692"/>
        </w:trPr>
        <w:tc>
          <w:tcPr>
            <w:tcW w:w="550" w:type="dxa"/>
            <w:vAlign w:val="center"/>
          </w:tcPr>
          <w:p w:rsidR="00596A99" w:rsidRDefault="00823EF2" w:rsidP="00596A99">
            <w:pPr>
              <w:rPr>
                <w:sz w:val="20"/>
                <w:szCs w:val="20"/>
              </w:rPr>
            </w:pPr>
            <w:r>
              <w:rPr>
                <w:sz w:val="20"/>
                <w:szCs w:val="20"/>
              </w:rPr>
              <w:t>12</w:t>
            </w:r>
          </w:p>
        </w:tc>
        <w:tc>
          <w:tcPr>
            <w:tcW w:w="7242" w:type="dxa"/>
            <w:vAlign w:val="center"/>
          </w:tcPr>
          <w:p w:rsidR="00596A99" w:rsidRDefault="00823EF2" w:rsidP="00596A99">
            <w:pPr>
              <w:rPr>
                <w:rFonts w:eastAsia="Calibri" w:cstheme="minorHAnsi"/>
              </w:rPr>
            </w:pPr>
            <w:r>
              <w:rPr>
                <w:rFonts w:cstheme="minorHAnsi"/>
              </w:rPr>
              <w:t>Ön arıtma zorunluluğu (Madde 12.4)</w:t>
            </w:r>
            <w:r>
              <w:rPr>
                <w:rFonts w:eastAsia="Calibri" w:cstheme="minorHAnsi"/>
              </w:rPr>
              <w:t xml:space="preserve">                                          </w:t>
            </w:r>
          </w:p>
          <w:p w:rsidR="00596A99" w:rsidRDefault="00823EF2" w:rsidP="00596A99">
            <w:pPr>
              <w:rPr>
                <w:rFonts w:cstheme="minorHAnsi"/>
              </w:rPr>
            </w:pPr>
            <w:r>
              <w:rPr>
                <w:rFonts w:eastAsia="Calibri" w:cstheme="minorHAnsi"/>
              </w:rPr>
              <w:t>“</w:t>
            </w:r>
            <w:r>
              <w:rPr>
                <w:rFonts w:eastAsia="Calibri" w:cstheme="minorHAnsi"/>
                <w:i/>
                <w:sz w:val="20"/>
              </w:rPr>
              <w:t>Ön arıtma tesisini işletmeye alan Katılımcıdan, farklı zamanlarda 10. Maddede bel</w:t>
            </w:r>
            <w:r>
              <w:rPr>
                <w:rFonts w:eastAsia="Calibri" w:cstheme="minorHAnsi"/>
                <w:i/>
                <w:sz w:val="20"/>
              </w:rPr>
              <w:t>irtilen yöntemlerle alınacak ardışık iki adet numune için Tablo 1’de ön görülen sınır değerleri sağlaması gerekir. Kanalizasyona kabul kriterlerinin sağlanamaması durumunda, Katılımcı tesisinde öngördüğü revizyon çalışmaları hakkında DOSAB’a 15 (onbeş) gün</w:t>
            </w:r>
            <w:r>
              <w:rPr>
                <w:rFonts w:eastAsia="Calibri" w:cstheme="minorHAnsi"/>
                <w:i/>
                <w:sz w:val="20"/>
              </w:rPr>
              <w:t xml:space="preserve"> içerisinde yazılı bildirimde bulunmalıdır. İyileştirme faaliyetleri sonrasında ardışık iki adet numune için Tablo 1’de ön görülen sınır değerleri sağlaması gerekir. Katılımcının tesisinde yapacağı iyileştirmelere için verilecek süre uygunsuzluk tespit tar</w:t>
            </w:r>
            <w:r>
              <w:rPr>
                <w:rFonts w:eastAsia="Calibri" w:cstheme="minorHAnsi"/>
                <w:i/>
                <w:sz w:val="20"/>
              </w:rPr>
              <w:t>ihinden itibaren 3 (üç) ayı geçemez. Uygunsuzluğun 3(üç) ayın sonunda devam etmesi”</w:t>
            </w:r>
          </w:p>
        </w:tc>
        <w:tc>
          <w:tcPr>
            <w:tcW w:w="6237" w:type="dxa"/>
            <w:vAlign w:val="center"/>
          </w:tcPr>
          <w:p w:rsidR="00596A99" w:rsidRDefault="00823EF2" w:rsidP="00596A99">
            <w:pPr>
              <w:jc w:val="center"/>
              <w:rPr>
                <w:sz w:val="20"/>
                <w:szCs w:val="20"/>
              </w:rPr>
            </w:pPr>
            <w:r>
              <w:rPr>
                <w:sz w:val="20"/>
                <w:szCs w:val="20"/>
              </w:rPr>
              <w:t>50 000 TL</w:t>
            </w:r>
          </w:p>
          <w:p w:rsidR="00596A99" w:rsidRDefault="00823EF2" w:rsidP="00596A99">
            <w:pPr>
              <w:jc w:val="center"/>
              <w:rPr>
                <w:sz w:val="20"/>
                <w:szCs w:val="20"/>
              </w:rPr>
            </w:pPr>
            <w:r>
              <w:rPr>
                <w:sz w:val="20"/>
                <w:szCs w:val="20"/>
              </w:rPr>
              <w:t>ya da</w:t>
            </w:r>
          </w:p>
          <w:p w:rsidR="00596A99" w:rsidRDefault="00823EF2" w:rsidP="00596A99">
            <w:pPr>
              <w:jc w:val="center"/>
              <w:rPr>
                <w:sz w:val="20"/>
                <w:szCs w:val="20"/>
              </w:rPr>
            </w:pPr>
            <w:r>
              <w:rPr>
                <w:sz w:val="20"/>
                <w:szCs w:val="20"/>
              </w:rPr>
              <w:t xml:space="preserve">Bir önceki Takvim Yılı içerisindeki </w:t>
            </w:r>
          </w:p>
          <w:p w:rsidR="00596A99" w:rsidRDefault="00823EF2" w:rsidP="00596A99">
            <w:pPr>
              <w:jc w:val="center"/>
              <w:rPr>
                <w:sz w:val="20"/>
                <w:szCs w:val="20"/>
              </w:rPr>
            </w:pPr>
            <w:r>
              <w:rPr>
                <w:sz w:val="20"/>
                <w:szCs w:val="20"/>
              </w:rPr>
              <w:t>En Yüksek Aylık</w:t>
            </w:r>
            <w:r>
              <w:t xml:space="preserve"> </w:t>
            </w:r>
            <w:r>
              <w:rPr>
                <w:sz w:val="20"/>
                <w:szCs w:val="20"/>
              </w:rPr>
              <w:t>Atıksu Hizmet Bedelinin 5 katı</w:t>
            </w:r>
          </w:p>
        </w:tc>
      </w:tr>
      <w:tr w:rsidR="003D357A" w:rsidTr="00596A99">
        <w:trPr>
          <w:trHeight w:val="421"/>
        </w:trPr>
        <w:tc>
          <w:tcPr>
            <w:tcW w:w="14029" w:type="dxa"/>
            <w:gridSpan w:val="3"/>
            <w:vAlign w:val="center"/>
          </w:tcPr>
          <w:p w:rsidR="00596A99" w:rsidRPr="00A717C8" w:rsidRDefault="00823EF2" w:rsidP="00596A99">
            <w:pPr>
              <w:pStyle w:val="ListeParagraf"/>
              <w:numPr>
                <w:ilvl w:val="0"/>
                <w:numId w:val="3"/>
              </w:numPr>
              <w:jc w:val="center"/>
              <w:rPr>
                <w:sz w:val="20"/>
                <w:szCs w:val="20"/>
              </w:rPr>
            </w:pPr>
            <w:r>
              <w:rPr>
                <w:sz w:val="20"/>
                <w:szCs w:val="20"/>
              </w:rPr>
              <w:t>ÖNCELİKLİ GRUP</w:t>
            </w:r>
          </w:p>
        </w:tc>
      </w:tr>
      <w:tr w:rsidR="003D357A" w:rsidTr="00596A99">
        <w:trPr>
          <w:trHeight w:val="2242"/>
        </w:trPr>
        <w:tc>
          <w:tcPr>
            <w:tcW w:w="550" w:type="dxa"/>
            <w:vAlign w:val="center"/>
          </w:tcPr>
          <w:p w:rsidR="00596A99" w:rsidRDefault="00823EF2" w:rsidP="00596A99">
            <w:pPr>
              <w:rPr>
                <w:sz w:val="20"/>
                <w:szCs w:val="20"/>
              </w:rPr>
            </w:pPr>
            <w:r>
              <w:rPr>
                <w:sz w:val="20"/>
                <w:szCs w:val="20"/>
              </w:rPr>
              <w:t>13</w:t>
            </w:r>
          </w:p>
        </w:tc>
        <w:tc>
          <w:tcPr>
            <w:tcW w:w="7242" w:type="dxa"/>
            <w:vAlign w:val="center"/>
          </w:tcPr>
          <w:p w:rsidR="00596A99" w:rsidRDefault="00823EF2" w:rsidP="00596A99">
            <w:pPr>
              <w:rPr>
                <w:rFonts w:cstheme="minorHAnsi"/>
              </w:rPr>
            </w:pPr>
            <w:r>
              <w:rPr>
                <w:rFonts w:cstheme="minorHAnsi"/>
              </w:rPr>
              <w:t xml:space="preserve">Atıksu Bağlantı izni (Madde 11.3)                                               </w:t>
            </w:r>
          </w:p>
          <w:p w:rsidR="00596A99" w:rsidRDefault="00823EF2" w:rsidP="00596A99">
            <w:pPr>
              <w:rPr>
                <w:rFonts w:cstheme="minorHAnsi"/>
              </w:rPr>
            </w:pPr>
            <w:r>
              <w:rPr>
                <w:rFonts w:cstheme="minorHAnsi"/>
              </w:rPr>
              <w:t>“</w:t>
            </w:r>
            <w:r>
              <w:rPr>
                <w:rFonts w:cstheme="minorHAnsi"/>
                <w:i/>
                <w:sz w:val="20"/>
              </w:rPr>
              <w:t>Katılımcının başvurusuna istinaden, işletmenin altyapı tesisat planına göre atıksu ve yağmur suyu kanalları kontrol edilir. Teknik olarak uygun olduğuna karar verilmesi durum</w:t>
            </w:r>
            <w:r>
              <w:rPr>
                <w:rFonts w:cstheme="minorHAnsi"/>
                <w:i/>
                <w:sz w:val="20"/>
              </w:rPr>
              <w:t>unda DOSAB tarafından numune alma işlemi planlanır. Uygunsuzluk tespiti durumunda katılımcıya bir (1) ay süre verilir. Uygunsuzluğun belirlenen süre zarfında giderilmesi durumunda DOSAB tarafından numune alma işlemi planlanır.  Uygunsuzluğun izin verilen s</w:t>
            </w:r>
            <w:r>
              <w:rPr>
                <w:rFonts w:cstheme="minorHAnsi"/>
                <w:i/>
                <w:sz w:val="20"/>
              </w:rPr>
              <w:t>ürede tamamlanmaması durumunda”</w:t>
            </w:r>
          </w:p>
        </w:tc>
        <w:tc>
          <w:tcPr>
            <w:tcW w:w="6237" w:type="dxa"/>
            <w:vAlign w:val="center"/>
          </w:tcPr>
          <w:p w:rsidR="00596A99" w:rsidRDefault="00823EF2" w:rsidP="00596A99">
            <w:pPr>
              <w:jc w:val="center"/>
              <w:rPr>
                <w:sz w:val="20"/>
                <w:szCs w:val="20"/>
              </w:rPr>
            </w:pPr>
            <w:r>
              <w:rPr>
                <w:sz w:val="20"/>
                <w:szCs w:val="20"/>
              </w:rPr>
              <w:t>25 000 TL</w:t>
            </w:r>
          </w:p>
          <w:p w:rsidR="00596A99" w:rsidRDefault="00823EF2" w:rsidP="00596A99">
            <w:pPr>
              <w:jc w:val="center"/>
              <w:rPr>
                <w:sz w:val="20"/>
                <w:szCs w:val="20"/>
              </w:rPr>
            </w:pPr>
            <w:r>
              <w:rPr>
                <w:sz w:val="20"/>
                <w:szCs w:val="20"/>
              </w:rPr>
              <w:t>ya da</w:t>
            </w:r>
          </w:p>
          <w:p w:rsidR="00596A99" w:rsidRDefault="00823EF2" w:rsidP="00596A99">
            <w:pPr>
              <w:jc w:val="center"/>
              <w:rPr>
                <w:sz w:val="20"/>
                <w:szCs w:val="20"/>
              </w:rPr>
            </w:pPr>
            <w:r>
              <w:rPr>
                <w:sz w:val="20"/>
                <w:szCs w:val="20"/>
              </w:rPr>
              <w:t>Bir önceki Takvim Yılı içerisindeki En Yüksek Aylık</w:t>
            </w:r>
            <w:r>
              <w:t xml:space="preserve"> </w:t>
            </w:r>
            <w:r>
              <w:rPr>
                <w:sz w:val="20"/>
                <w:szCs w:val="20"/>
              </w:rPr>
              <w:t>Atıksu Hizmet Bedelinin 3 katı</w:t>
            </w:r>
          </w:p>
        </w:tc>
      </w:tr>
      <w:tr w:rsidR="003D357A" w:rsidTr="00596A99">
        <w:trPr>
          <w:trHeight w:val="582"/>
        </w:trPr>
        <w:tc>
          <w:tcPr>
            <w:tcW w:w="550" w:type="dxa"/>
            <w:vAlign w:val="center"/>
          </w:tcPr>
          <w:p w:rsidR="00596A99" w:rsidRDefault="00823EF2" w:rsidP="00596A99">
            <w:pPr>
              <w:jc w:val="center"/>
              <w:rPr>
                <w:sz w:val="20"/>
                <w:szCs w:val="20"/>
              </w:rPr>
            </w:pPr>
            <w:r w:rsidRPr="00C013A1">
              <w:rPr>
                <w:sz w:val="20"/>
                <w:szCs w:val="20"/>
              </w:rPr>
              <w:lastRenderedPageBreak/>
              <w:t>Sıra No</w:t>
            </w:r>
          </w:p>
        </w:tc>
        <w:tc>
          <w:tcPr>
            <w:tcW w:w="7242" w:type="dxa"/>
            <w:vAlign w:val="center"/>
          </w:tcPr>
          <w:p w:rsidR="00596A99" w:rsidRDefault="00823EF2" w:rsidP="00596A99">
            <w:pPr>
              <w:jc w:val="center"/>
              <w:rPr>
                <w:rFonts w:cstheme="minorHAnsi"/>
              </w:rPr>
            </w:pPr>
            <w:r w:rsidRPr="00C013A1">
              <w:rPr>
                <w:sz w:val="20"/>
                <w:szCs w:val="20"/>
              </w:rPr>
              <w:t>Atıksu Altyapı Talimatı İhlal Durumu</w:t>
            </w:r>
          </w:p>
        </w:tc>
        <w:tc>
          <w:tcPr>
            <w:tcW w:w="6237" w:type="dxa"/>
            <w:vAlign w:val="center"/>
          </w:tcPr>
          <w:p w:rsidR="00596A99" w:rsidRDefault="00823EF2" w:rsidP="00596A99">
            <w:pPr>
              <w:jc w:val="center"/>
              <w:rPr>
                <w:sz w:val="20"/>
                <w:szCs w:val="20"/>
              </w:rPr>
            </w:pPr>
            <w:r w:rsidRPr="00C013A1">
              <w:rPr>
                <w:sz w:val="20"/>
                <w:szCs w:val="20"/>
              </w:rPr>
              <w:t>Kirlilik Önlem Bedeli (TL)</w:t>
            </w:r>
          </w:p>
        </w:tc>
      </w:tr>
      <w:tr w:rsidR="003D357A" w:rsidTr="001757BE">
        <w:trPr>
          <w:trHeight w:val="2830"/>
        </w:trPr>
        <w:tc>
          <w:tcPr>
            <w:tcW w:w="550" w:type="dxa"/>
            <w:vAlign w:val="center"/>
          </w:tcPr>
          <w:p w:rsidR="00596A99" w:rsidRDefault="00823EF2" w:rsidP="00596A99">
            <w:pPr>
              <w:rPr>
                <w:sz w:val="20"/>
                <w:szCs w:val="20"/>
              </w:rPr>
            </w:pPr>
            <w:r>
              <w:rPr>
                <w:sz w:val="20"/>
                <w:szCs w:val="20"/>
              </w:rPr>
              <w:t>14</w:t>
            </w:r>
          </w:p>
        </w:tc>
        <w:tc>
          <w:tcPr>
            <w:tcW w:w="7242" w:type="dxa"/>
            <w:vAlign w:val="center"/>
          </w:tcPr>
          <w:p w:rsidR="00596A99" w:rsidRDefault="00823EF2" w:rsidP="00596A99">
            <w:pPr>
              <w:rPr>
                <w:rFonts w:cstheme="minorHAnsi"/>
              </w:rPr>
            </w:pPr>
            <w:r>
              <w:rPr>
                <w:rFonts w:cstheme="minorHAnsi"/>
              </w:rPr>
              <w:t xml:space="preserve">Atıksu Debimetre istasyonu teknik şartları </w:t>
            </w:r>
            <w:r>
              <w:rPr>
                <w:rFonts w:cstheme="minorHAnsi"/>
              </w:rPr>
              <w:t>(Madde 14.5)</w:t>
            </w:r>
          </w:p>
          <w:p w:rsidR="00596A99" w:rsidRDefault="00823EF2" w:rsidP="00596A99">
            <w:pPr>
              <w:rPr>
                <w:rFonts w:cstheme="minorHAnsi"/>
              </w:rPr>
            </w:pPr>
            <w:r>
              <w:rPr>
                <w:rFonts w:cstheme="minorHAnsi"/>
              </w:rPr>
              <w:t>“</w:t>
            </w:r>
            <w:r w:rsidRPr="003F2F90">
              <w:rPr>
                <w:rFonts w:cstheme="minorHAnsi"/>
                <w:i/>
                <w:sz w:val="20"/>
              </w:rPr>
              <w:t>Kurulumu tamamlanan Atıksu Debimetre İstasyonu DOSAB tarafından kontrol edilir, eksik olması durumunda Katılımcıya tamamlaması için en fazla 30 takvim günü süre verilir. Eksiklerin tamamlandığı tespit edildiğinde DOSAB personeli tarafından DO</w:t>
            </w:r>
            <w:r w:rsidRPr="003F2F90">
              <w:rPr>
                <w:rFonts w:cstheme="minorHAnsi"/>
                <w:i/>
                <w:sz w:val="20"/>
              </w:rPr>
              <w:t>-SA-S-05/F01 Debimetre Montajı ve Devreye Alma Tutanağı ile birlikte devreye alınır. Katılımcının, atıksu deşarjına Atıksu Debimetre İstasyonunun onay ve devreye alınmasından önce başlaması ve/veya Atıksu debimetre istasyonu devreye alma sırasında belirlen</w:t>
            </w:r>
            <w:r w:rsidRPr="003F2F90">
              <w:rPr>
                <w:rFonts w:cstheme="minorHAnsi"/>
                <w:i/>
                <w:sz w:val="20"/>
              </w:rPr>
              <w:t xml:space="preserve">en eksikliklerin giderilmesi için verilen ek süre içerisinde tamamlanmaması durumunda “     </w:t>
            </w:r>
          </w:p>
        </w:tc>
        <w:tc>
          <w:tcPr>
            <w:tcW w:w="6237" w:type="dxa"/>
            <w:vAlign w:val="center"/>
          </w:tcPr>
          <w:p w:rsidR="00596A99" w:rsidRDefault="00823EF2" w:rsidP="00596A99">
            <w:pPr>
              <w:jc w:val="center"/>
              <w:rPr>
                <w:sz w:val="20"/>
                <w:szCs w:val="20"/>
              </w:rPr>
            </w:pPr>
            <w:r>
              <w:rPr>
                <w:sz w:val="20"/>
                <w:szCs w:val="20"/>
              </w:rPr>
              <w:t>25 000 TL</w:t>
            </w:r>
          </w:p>
          <w:p w:rsidR="00596A99" w:rsidRDefault="00823EF2" w:rsidP="00596A99">
            <w:pPr>
              <w:jc w:val="center"/>
              <w:rPr>
                <w:sz w:val="20"/>
                <w:szCs w:val="20"/>
              </w:rPr>
            </w:pPr>
            <w:r>
              <w:rPr>
                <w:sz w:val="20"/>
                <w:szCs w:val="20"/>
              </w:rPr>
              <w:t>ya da</w:t>
            </w:r>
          </w:p>
          <w:p w:rsidR="00596A99" w:rsidRDefault="00823EF2" w:rsidP="00596A99">
            <w:pPr>
              <w:jc w:val="center"/>
              <w:rPr>
                <w:sz w:val="20"/>
                <w:szCs w:val="20"/>
              </w:rPr>
            </w:pPr>
            <w:r>
              <w:rPr>
                <w:sz w:val="20"/>
                <w:szCs w:val="20"/>
              </w:rPr>
              <w:t xml:space="preserve">Bir önceki Takvim Yılı içerisindeki </w:t>
            </w:r>
          </w:p>
          <w:p w:rsidR="00596A99" w:rsidRDefault="00823EF2" w:rsidP="00596A99">
            <w:pPr>
              <w:jc w:val="center"/>
              <w:rPr>
                <w:sz w:val="20"/>
                <w:szCs w:val="20"/>
              </w:rPr>
            </w:pPr>
            <w:r>
              <w:rPr>
                <w:sz w:val="20"/>
                <w:szCs w:val="20"/>
              </w:rPr>
              <w:t>En Yüksek Aylık</w:t>
            </w:r>
            <w:r>
              <w:t xml:space="preserve"> </w:t>
            </w:r>
            <w:r>
              <w:rPr>
                <w:sz w:val="20"/>
                <w:szCs w:val="20"/>
              </w:rPr>
              <w:t>Atıksu Hizmet Bedelinin 3 katı</w:t>
            </w:r>
          </w:p>
        </w:tc>
      </w:tr>
      <w:tr w:rsidR="003D357A" w:rsidTr="001757BE">
        <w:trPr>
          <w:trHeight w:val="2794"/>
        </w:trPr>
        <w:tc>
          <w:tcPr>
            <w:tcW w:w="550" w:type="dxa"/>
            <w:vAlign w:val="center"/>
          </w:tcPr>
          <w:p w:rsidR="00596A99" w:rsidRDefault="00823EF2" w:rsidP="00596A99">
            <w:pPr>
              <w:rPr>
                <w:sz w:val="20"/>
                <w:szCs w:val="20"/>
              </w:rPr>
            </w:pPr>
            <w:r>
              <w:rPr>
                <w:sz w:val="20"/>
                <w:szCs w:val="20"/>
              </w:rPr>
              <w:t>15</w:t>
            </w:r>
          </w:p>
        </w:tc>
        <w:tc>
          <w:tcPr>
            <w:tcW w:w="7242" w:type="dxa"/>
            <w:vAlign w:val="center"/>
          </w:tcPr>
          <w:p w:rsidR="00596A99" w:rsidRDefault="00823EF2" w:rsidP="00596A99">
            <w:pPr>
              <w:rPr>
                <w:rFonts w:cstheme="minorHAnsi"/>
              </w:rPr>
            </w:pPr>
            <w:r>
              <w:rPr>
                <w:rFonts w:cstheme="minorHAnsi"/>
              </w:rPr>
              <w:t>Atıksu Debimetre istasyonu teknik şartları (Madde 14.7)</w:t>
            </w:r>
          </w:p>
          <w:p w:rsidR="00596A99" w:rsidRDefault="00823EF2" w:rsidP="00596A99">
            <w:pPr>
              <w:rPr>
                <w:rFonts w:cstheme="minorHAnsi"/>
              </w:rPr>
            </w:pPr>
            <w:r>
              <w:rPr>
                <w:rFonts w:cstheme="minorHAnsi"/>
              </w:rPr>
              <w:t>“</w:t>
            </w:r>
            <w:r w:rsidRPr="00D31493">
              <w:rPr>
                <w:rFonts w:cstheme="minorHAnsi"/>
                <w:bCs/>
                <w:i/>
                <w:sz w:val="20"/>
              </w:rPr>
              <w:t>Atıksu Debimetre İstasyonu kurulu bulunan ancak Katılımcısı değişen ve faaliyeti devam eden atıksu katılımcısının Atıksu Debimetre İstasyonu, DOSAB yetkili personeli tarafından kontrol edilir. Eksik tespit edilmesi durumunda Katılımcıya tamamlaması için en</w:t>
            </w:r>
            <w:r w:rsidRPr="00D31493">
              <w:rPr>
                <w:rFonts w:cstheme="minorHAnsi"/>
                <w:bCs/>
                <w:i/>
                <w:sz w:val="20"/>
              </w:rPr>
              <w:t xml:space="preserve"> fazla 60 takvim günü süre verilir. Eksiklerin tamamlandığı tespit edildiğinde DOSAB yetkili personeli tarafından inceleme yapılarak DO-SA-S-05/F01 Debimetre Montajı ve Devreye Alma Tutanağı ile birlikte devreye alınır. Atıksu debimetre istasyonu eksikleri</w:t>
            </w:r>
            <w:r w:rsidRPr="00D31493">
              <w:rPr>
                <w:rFonts w:cstheme="minorHAnsi"/>
                <w:bCs/>
                <w:i/>
                <w:sz w:val="20"/>
              </w:rPr>
              <w:t>ni tamamlanması için verilen süre içerisinde tamamlanmaması durumunda</w:t>
            </w:r>
            <w:r>
              <w:rPr>
                <w:rFonts w:cstheme="minorHAnsi"/>
                <w:sz w:val="20"/>
              </w:rPr>
              <w:t xml:space="preserve"> “</w:t>
            </w:r>
          </w:p>
        </w:tc>
        <w:tc>
          <w:tcPr>
            <w:tcW w:w="6237" w:type="dxa"/>
            <w:vAlign w:val="center"/>
          </w:tcPr>
          <w:p w:rsidR="00596A99" w:rsidRDefault="00823EF2" w:rsidP="00596A99">
            <w:pPr>
              <w:jc w:val="center"/>
              <w:rPr>
                <w:sz w:val="20"/>
                <w:szCs w:val="20"/>
              </w:rPr>
            </w:pPr>
            <w:r>
              <w:rPr>
                <w:sz w:val="20"/>
                <w:szCs w:val="20"/>
              </w:rPr>
              <w:t>25 000 TL</w:t>
            </w:r>
          </w:p>
          <w:p w:rsidR="00596A99" w:rsidRDefault="00823EF2" w:rsidP="00596A99">
            <w:pPr>
              <w:jc w:val="center"/>
              <w:rPr>
                <w:sz w:val="20"/>
                <w:szCs w:val="20"/>
              </w:rPr>
            </w:pPr>
            <w:r>
              <w:rPr>
                <w:sz w:val="20"/>
                <w:szCs w:val="20"/>
              </w:rPr>
              <w:t>ya da</w:t>
            </w:r>
          </w:p>
          <w:p w:rsidR="001757BE" w:rsidRDefault="00823EF2" w:rsidP="00596A99">
            <w:pPr>
              <w:jc w:val="center"/>
              <w:rPr>
                <w:sz w:val="20"/>
                <w:szCs w:val="20"/>
              </w:rPr>
            </w:pPr>
            <w:r>
              <w:rPr>
                <w:sz w:val="20"/>
                <w:szCs w:val="20"/>
              </w:rPr>
              <w:t xml:space="preserve">Bir önceki Takvim Yılı içerisindeki </w:t>
            </w:r>
          </w:p>
          <w:p w:rsidR="00596A99" w:rsidRDefault="00823EF2" w:rsidP="00596A99">
            <w:pPr>
              <w:jc w:val="center"/>
              <w:rPr>
                <w:sz w:val="20"/>
                <w:szCs w:val="20"/>
              </w:rPr>
            </w:pPr>
            <w:r>
              <w:rPr>
                <w:sz w:val="20"/>
                <w:szCs w:val="20"/>
              </w:rPr>
              <w:t>En Yüksek Aylık</w:t>
            </w:r>
            <w:r>
              <w:t xml:space="preserve"> </w:t>
            </w:r>
            <w:r>
              <w:rPr>
                <w:sz w:val="20"/>
                <w:szCs w:val="20"/>
              </w:rPr>
              <w:t>Atıksu Hizmet Bedelinin 3 katı</w:t>
            </w:r>
          </w:p>
        </w:tc>
      </w:tr>
      <w:tr w:rsidR="003D357A" w:rsidTr="001757BE">
        <w:trPr>
          <w:trHeight w:val="1970"/>
        </w:trPr>
        <w:tc>
          <w:tcPr>
            <w:tcW w:w="550" w:type="dxa"/>
            <w:vAlign w:val="center"/>
          </w:tcPr>
          <w:p w:rsidR="00596A99" w:rsidRDefault="00823EF2" w:rsidP="00596A99">
            <w:pPr>
              <w:rPr>
                <w:sz w:val="20"/>
                <w:szCs w:val="20"/>
              </w:rPr>
            </w:pPr>
            <w:r>
              <w:rPr>
                <w:sz w:val="20"/>
                <w:szCs w:val="20"/>
              </w:rPr>
              <w:t>16</w:t>
            </w:r>
          </w:p>
        </w:tc>
        <w:tc>
          <w:tcPr>
            <w:tcW w:w="7242" w:type="dxa"/>
            <w:vAlign w:val="center"/>
          </w:tcPr>
          <w:p w:rsidR="001757BE" w:rsidRDefault="00823EF2" w:rsidP="00596A99">
            <w:pPr>
              <w:rPr>
                <w:rFonts w:cstheme="minorHAnsi"/>
              </w:rPr>
            </w:pPr>
            <w:r>
              <w:rPr>
                <w:rFonts w:cstheme="minorHAnsi"/>
              </w:rPr>
              <w:t xml:space="preserve">Atıksu Debimetre istasyonu teknik şartları (Madde 14.9)           </w:t>
            </w:r>
          </w:p>
          <w:p w:rsidR="00596A99" w:rsidRDefault="00823EF2" w:rsidP="00596A99">
            <w:pPr>
              <w:rPr>
                <w:rFonts w:cstheme="minorHAnsi"/>
              </w:rPr>
            </w:pPr>
            <w:r w:rsidRPr="00D31493">
              <w:rPr>
                <w:rFonts w:cstheme="minorHAnsi"/>
                <w:i/>
                <w:sz w:val="20"/>
              </w:rPr>
              <w:t>“Debimetrenin herhangi bir sebeple devre dışı kalması (arıza, haberleşme arızası vb.) ve devreye alınması için süreç 60 takvim gününü aşamaz. Atıksu debimetre istasyonunun devre dışı kaldığı sürenin 60 takvim gününü aşması durumunda bir önceki takvim yılın</w:t>
            </w:r>
            <w:r w:rsidRPr="00D31493">
              <w:rPr>
                <w:rFonts w:cstheme="minorHAnsi"/>
                <w:i/>
                <w:sz w:val="20"/>
              </w:rPr>
              <w:t xml:space="preserve">da aynı aya ait atıksu miktarını esas alarak katılımcıya Atıksu Hizmet Bedeli miktarının %50 fazlası fatura edilir.”        </w:t>
            </w:r>
          </w:p>
        </w:tc>
        <w:tc>
          <w:tcPr>
            <w:tcW w:w="6237" w:type="dxa"/>
            <w:vAlign w:val="center"/>
          </w:tcPr>
          <w:p w:rsidR="00596A99" w:rsidRDefault="00596A99" w:rsidP="00596A99">
            <w:pPr>
              <w:jc w:val="center"/>
              <w:rPr>
                <w:sz w:val="20"/>
                <w:szCs w:val="20"/>
              </w:rPr>
            </w:pPr>
          </w:p>
          <w:p w:rsidR="00596A99" w:rsidRDefault="00596A99" w:rsidP="00596A99">
            <w:pPr>
              <w:jc w:val="center"/>
              <w:rPr>
                <w:sz w:val="20"/>
                <w:szCs w:val="20"/>
              </w:rPr>
            </w:pPr>
          </w:p>
          <w:p w:rsidR="00596A99" w:rsidRDefault="00823EF2" w:rsidP="00596A99">
            <w:pPr>
              <w:jc w:val="center"/>
              <w:rPr>
                <w:sz w:val="20"/>
                <w:szCs w:val="20"/>
              </w:rPr>
            </w:pPr>
            <w:r>
              <w:rPr>
                <w:sz w:val="20"/>
                <w:szCs w:val="20"/>
              </w:rPr>
              <w:t>25 000 TL**</w:t>
            </w:r>
          </w:p>
          <w:p w:rsidR="00596A99" w:rsidRDefault="00823EF2" w:rsidP="00596A99">
            <w:pPr>
              <w:jc w:val="center"/>
              <w:rPr>
                <w:sz w:val="20"/>
                <w:szCs w:val="20"/>
              </w:rPr>
            </w:pPr>
            <w:r>
              <w:rPr>
                <w:sz w:val="20"/>
                <w:szCs w:val="20"/>
              </w:rPr>
              <w:t>ya da</w:t>
            </w:r>
          </w:p>
          <w:p w:rsidR="00596A99" w:rsidRDefault="00823EF2" w:rsidP="00596A99">
            <w:pPr>
              <w:jc w:val="center"/>
              <w:rPr>
                <w:sz w:val="20"/>
                <w:szCs w:val="20"/>
              </w:rPr>
            </w:pPr>
            <w:r>
              <w:rPr>
                <w:sz w:val="20"/>
                <w:szCs w:val="20"/>
              </w:rPr>
              <w:t>Bir önceki Takvim Yılı içerisindeki En Yüksek Aylık</w:t>
            </w:r>
            <w:r>
              <w:t xml:space="preserve"> </w:t>
            </w:r>
            <w:r>
              <w:rPr>
                <w:sz w:val="20"/>
                <w:szCs w:val="20"/>
              </w:rPr>
              <w:t>Atıksu Hizmet Bedelinin 3 katı**</w:t>
            </w:r>
          </w:p>
        </w:tc>
      </w:tr>
      <w:tr w:rsidR="003D357A" w:rsidTr="001757BE">
        <w:trPr>
          <w:trHeight w:val="1273"/>
        </w:trPr>
        <w:tc>
          <w:tcPr>
            <w:tcW w:w="550" w:type="dxa"/>
            <w:vAlign w:val="center"/>
          </w:tcPr>
          <w:p w:rsidR="00596A99" w:rsidRDefault="00823EF2" w:rsidP="00596A99">
            <w:pPr>
              <w:rPr>
                <w:sz w:val="20"/>
                <w:szCs w:val="20"/>
              </w:rPr>
            </w:pPr>
            <w:r>
              <w:rPr>
                <w:sz w:val="20"/>
                <w:szCs w:val="20"/>
              </w:rPr>
              <w:t>17</w:t>
            </w:r>
          </w:p>
        </w:tc>
        <w:tc>
          <w:tcPr>
            <w:tcW w:w="7242" w:type="dxa"/>
            <w:vAlign w:val="center"/>
          </w:tcPr>
          <w:p w:rsidR="00596A99" w:rsidRDefault="00823EF2" w:rsidP="00596A99">
            <w:pPr>
              <w:rPr>
                <w:rFonts w:cstheme="minorHAnsi"/>
              </w:rPr>
            </w:pPr>
            <w:r>
              <w:rPr>
                <w:rFonts w:cstheme="minorHAnsi"/>
              </w:rPr>
              <w:t xml:space="preserve">Denetim Esasları (Madde 17.3)                                                                    </w:t>
            </w:r>
          </w:p>
        </w:tc>
        <w:tc>
          <w:tcPr>
            <w:tcW w:w="6237" w:type="dxa"/>
            <w:vAlign w:val="center"/>
          </w:tcPr>
          <w:p w:rsidR="00596A99" w:rsidRDefault="00823EF2" w:rsidP="00596A99">
            <w:pPr>
              <w:jc w:val="center"/>
              <w:rPr>
                <w:sz w:val="20"/>
                <w:szCs w:val="20"/>
              </w:rPr>
            </w:pPr>
            <w:r>
              <w:rPr>
                <w:sz w:val="20"/>
                <w:szCs w:val="20"/>
              </w:rPr>
              <w:t>25 000 TL</w:t>
            </w:r>
          </w:p>
          <w:p w:rsidR="00596A99" w:rsidRDefault="00823EF2" w:rsidP="00596A99">
            <w:pPr>
              <w:jc w:val="center"/>
              <w:rPr>
                <w:sz w:val="20"/>
                <w:szCs w:val="20"/>
              </w:rPr>
            </w:pPr>
            <w:r>
              <w:rPr>
                <w:sz w:val="20"/>
                <w:szCs w:val="20"/>
              </w:rPr>
              <w:t>ya da</w:t>
            </w:r>
          </w:p>
          <w:p w:rsidR="001757BE" w:rsidRDefault="00823EF2" w:rsidP="00596A99">
            <w:pPr>
              <w:jc w:val="center"/>
              <w:rPr>
                <w:sz w:val="20"/>
                <w:szCs w:val="20"/>
              </w:rPr>
            </w:pPr>
            <w:r>
              <w:rPr>
                <w:sz w:val="20"/>
                <w:szCs w:val="20"/>
              </w:rPr>
              <w:t xml:space="preserve">Bir önceki Takvim Yılı içerisindeki </w:t>
            </w:r>
          </w:p>
          <w:p w:rsidR="00596A99" w:rsidRDefault="00823EF2" w:rsidP="00596A99">
            <w:pPr>
              <w:jc w:val="center"/>
              <w:rPr>
                <w:sz w:val="20"/>
                <w:szCs w:val="20"/>
              </w:rPr>
            </w:pPr>
            <w:r>
              <w:rPr>
                <w:sz w:val="20"/>
                <w:szCs w:val="20"/>
              </w:rPr>
              <w:t>En Yüksek Aylık</w:t>
            </w:r>
            <w:r>
              <w:t xml:space="preserve"> </w:t>
            </w:r>
            <w:r>
              <w:rPr>
                <w:sz w:val="20"/>
                <w:szCs w:val="20"/>
              </w:rPr>
              <w:t>Atıksu Hizmet Bedelinin 3 katı</w:t>
            </w:r>
          </w:p>
        </w:tc>
      </w:tr>
      <w:tr w:rsidR="003D357A" w:rsidTr="00894E8A">
        <w:trPr>
          <w:trHeight w:val="440"/>
        </w:trPr>
        <w:tc>
          <w:tcPr>
            <w:tcW w:w="550" w:type="dxa"/>
            <w:vAlign w:val="center"/>
          </w:tcPr>
          <w:p w:rsidR="001757BE" w:rsidRDefault="00823EF2" w:rsidP="00997AF6">
            <w:pPr>
              <w:jc w:val="center"/>
              <w:rPr>
                <w:sz w:val="20"/>
                <w:szCs w:val="20"/>
              </w:rPr>
            </w:pPr>
            <w:r w:rsidRPr="00C013A1">
              <w:rPr>
                <w:sz w:val="20"/>
                <w:szCs w:val="20"/>
              </w:rPr>
              <w:lastRenderedPageBreak/>
              <w:t>Sıra No</w:t>
            </w:r>
          </w:p>
        </w:tc>
        <w:tc>
          <w:tcPr>
            <w:tcW w:w="7242" w:type="dxa"/>
            <w:vAlign w:val="center"/>
          </w:tcPr>
          <w:p w:rsidR="001757BE" w:rsidRDefault="00823EF2" w:rsidP="00997AF6">
            <w:pPr>
              <w:jc w:val="center"/>
              <w:rPr>
                <w:rFonts w:cstheme="minorHAnsi"/>
              </w:rPr>
            </w:pPr>
            <w:r w:rsidRPr="00C013A1">
              <w:rPr>
                <w:sz w:val="20"/>
                <w:szCs w:val="20"/>
              </w:rPr>
              <w:t>Atıksu Altyapı Talimatı İhlal Durumu</w:t>
            </w:r>
          </w:p>
        </w:tc>
        <w:tc>
          <w:tcPr>
            <w:tcW w:w="6237" w:type="dxa"/>
            <w:vAlign w:val="center"/>
          </w:tcPr>
          <w:p w:rsidR="001757BE" w:rsidRDefault="00823EF2" w:rsidP="00997AF6">
            <w:pPr>
              <w:jc w:val="center"/>
              <w:rPr>
                <w:sz w:val="20"/>
                <w:szCs w:val="20"/>
              </w:rPr>
            </w:pPr>
            <w:r w:rsidRPr="00C013A1">
              <w:rPr>
                <w:sz w:val="20"/>
                <w:szCs w:val="20"/>
              </w:rPr>
              <w:t xml:space="preserve">Kirlilik </w:t>
            </w:r>
            <w:r w:rsidRPr="00C013A1">
              <w:rPr>
                <w:sz w:val="20"/>
                <w:szCs w:val="20"/>
              </w:rPr>
              <w:t>Önlem Bedeli (TL)</w:t>
            </w:r>
          </w:p>
        </w:tc>
      </w:tr>
      <w:tr w:rsidR="003D357A" w:rsidTr="001757BE">
        <w:trPr>
          <w:trHeight w:val="420"/>
        </w:trPr>
        <w:tc>
          <w:tcPr>
            <w:tcW w:w="14029" w:type="dxa"/>
            <w:gridSpan w:val="3"/>
            <w:vAlign w:val="center"/>
          </w:tcPr>
          <w:p w:rsidR="00596A99" w:rsidRPr="00A717C8" w:rsidRDefault="00823EF2" w:rsidP="00596A99">
            <w:pPr>
              <w:pStyle w:val="ListeParagraf"/>
              <w:numPr>
                <w:ilvl w:val="0"/>
                <w:numId w:val="3"/>
              </w:numPr>
              <w:jc w:val="center"/>
              <w:rPr>
                <w:sz w:val="20"/>
                <w:szCs w:val="20"/>
              </w:rPr>
            </w:pPr>
            <w:r>
              <w:rPr>
                <w:sz w:val="20"/>
                <w:szCs w:val="20"/>
              </w:rPr>
              <w:t>ÖNCELİKLİ GRUP</w:t>
            </w:r>
          </w:p>
        </w:tc>
      </w:tr>
      <w:tr w:rsidR="003D357A" w:rsidTr="001757BE">
        <w:trPr>
          <w:trHeight w:val="1547"/>
        </w:trPr>
        <w:tc>
          <w:tcPr>
            <w:tcW w:w="550" w:type="dxa"/>
            <w:vAlign w:val="center"/>
          </w:tcPr>
          <w:p w:rsidR="00596A99" w:rsidRDefault="00823EF2" w:rsidP="00596A99">
            <w:pPr>
              <w:rPr>
                <w:sz w:val="20"/>
                <w:szCs w:val="20"/>
              </w:rPr>
            </w:pPr>
            <w:r>
              <w:rPr>
                <w:sz w:val="20"/>
                <w:szCs w:val="20"/>
              </w:rPr>
              <w:t>18</w:t>
            </w:r>
          </w:p>
        </w:tc>
        <w:tc>
          <w:tcPr>
            <w:tcW w:w="7242" w:type="dxa"/>
            <w:vAlign w:val="center"/>
          </w:tcPr>
          <w:p w:rsidR="001757BE" w:rsidRDefault="00823EF2" w:rsidP="00596A99">
            <w:pPr>
              <w:rPr>
                <w:rFonts w:cstheme="minorHAnsi"/>
              </w:rPr>
            </w:pPr>
            <w:r>
              <w:rPr>
                <w:rFonts w:cstheme="minorHAnsi"/>
              </w:rPr>
              <w:t xml:space="preserve">Ön arıtma zorunluluğu (Madde 12.2)                                          </w:t>
            </w:r>
          </w:p>
          <w:p w:rsidR="00596A99" w:rsidRDefault="00823EF2" w:rsidP="00596A99">
            <w:pPr>
              <w:rPr>
                <w:rFonts w:cstheme="minorHAnsi"/>
              </w:rPr>
            </w:pPr>
            <w:r>
              <w:rPr>
                <w:rFonts w:cstheme="minorHAnsi"/>
              </w:rPr>
              <w:t>“</w:t>
            </w:r>
            <w:r w:rsidRPr="00027223">
              <w:rPr>
                <w:rFonts w:eastAsia="Calibri" w:cstheme="minorHAnsi"/>
                <w:i/>
                <w:sz w:val="20"/>
              </w:rPr>
              <w:t xml:space="preserve">Ön arıtma tesisi kurması gerekliliği konusunda DOSAB tarafından bildirim yapılan Katılımcılar, bildirim tarihinden itibaren 30(otuz) işgünü </w:t>
            </w:r>
            <w:r w:rsidRPr="00027223">
              <w:rPr>
                <w:rFonts w:eastAsia="Calibri" w:cstheme="minorHAnsi"/>
                <w:i/>
                <w:sz w:val="20"/>
              </w:rPr>
              <w:t>içerisinde İş Termin Planını DOSAB’a sunmak zorundadır. Katılımcıların süresi içerisinde İş Termin Planının sunmaması durumunda”</w:t>
            </w:r>
          </w:p>
        </w:tc>
        <w:tc>
          <w:tcPr>
            <w:tcW w:w="6237" w:type="dxa"/>
            <w:vAlign w:val="center"/>
          </w:tcPr>
          <w:p w:rsidR="00596A99" w:rsidRDefault="00596A99" w:rsidP="00596A99">
            <w:pPr>
              <w:jc w:val="center"/>
              <w:rPr>
                <w:sz w:val="20"/>
                <w:szCs w:val="20"/>
              </w:rPr>
            </w:pPr>
          </w:p>
          <w:p w:rsidR="00596A99" w:rsidRDefault="00823EF2" w:rsidP="00596A99">
            <w:pPr>
              <w:jc w:val="center"/>
              <w:rPr>
                <w:sz w:val="20"/>
                <w:szCs w:val="20"/>
              </w:rPr>
            </w:pPr>
            <w:r>
              <w:rPr>
                <w:sz w:val="20"/>
                <w:szCs w:val="20"/>
              </w:rPr>
              <w:t>10 000 TL</w:t>
            </w:r>
          </w:p>
          <w:p w:rsidR="00596A99" w:rsidRDefault="00823EF2" w:rsidP="00596A99">
            <w:pPr>
              <w:jc w:val="center"/>
              <w:rPr>
                <w:sz w:val="20"/>
                <w:szCs w:val="20"/>
              </w:rPr>
            </w:pPr>
            <w:r>
              <w:rPr>
                <w:sz w:val="20"/>
                <w:szCs w:val="20"/>
              </w:rPr>
              <w:t>ya da</w:t>
            </w:r>
          </w:p>
          <w:p w:rsidR="001757BE" w:rsidRDefault="00823EF2" w:rsidP="00596A99">
            <w:pPr>
              <w:jc w:val="center"/>
              <w:rPr>
                <w:sz w:val="20"/>
                <w:szCs w:val="20"/>
              </w:rPr>
            </w:pPr>
            <w:r>
              <w:rPr>
                <w:sz w:val="20"/>
                <w:szCs w:val="20"/>
              </w:rPr>
              <w:t>Bir önceki Takvim Yılı içerisindeki</w:t>
            </w:r>
          </w:p>
          <w:p w:rsidR="00596A99" w:rsidRDefault="00823EF2" w:rsidP="00596A99">
            <w:pPr>
              <w:jc w:val="center"/>
              <w:rPr>
                <w:sz w:val="20"/>
                <w:szCs w:val="20"/>
              </w:rPr>
            </w:pPr>
            <w:r>
              <w:rPr>
                <w:sz w:val="20"/>
                <w:szCs w:val="20"/>
              </w:rPr>
              <w:t>En Yüksek Aylık</w:t>
            </w:r>
            <w:r>
              <w:t xml:space="preserve"> </w:t>
            </w:r>
            <w:r>
              <w:rPr>
                <w:sz w:val="20"/>
                <w:szCs w:val="20"/>
              </w:rPr>
              <w:t>Atıksu Hizmet Bedelinin 2 katı</w:t>
            </w:r>
          </w:p>
        </w:tc>
      </w:tr>
      <w:tr w:rsidR="003D357A" w:rsidTr="001757BE">
        <w:trPr>
          <w:trHeight w:val="1399"/>
        </w:trPr>
        <w:tc>
          <w:tcPr>
            <w:tcW w:w="550" w:type="dxa"/>
            <w:vAlign w:val="center"/>
          </w:tcPr>
          <w:p w:rsidR="00596A99" w:rsidRDefault="00823EF2" w:rsidP="00596A99">
            <w:pPr>
              <w:rPr>
                <w:sz w:val="20"/>
                <w:szCs w:val="20"/>
              </w:rPr>
            </w:pPr>
            <w:r>
              <w:rPr>
                <w:sz w:val="20"/>
                <w:szCs w:val="20"/>
              </w:rPr>
              <w:t>19</w:t>
            </w:r>
          </w:p>
        </w:tc>
        <w:tc>
          <w:tcPr>
            <w:tcW w:w="7242" w:type="dxa"/>
            <w:vAlign w:val="center"/>
          </w:tcPr>
          <w:p w:rsidR="001757BE" w:rsidRDefault="00823EF2" w:rsidP="00596A99">
            <w:pPr>
              <w:rPr>
                <w:rFonts w:cstheme="minorHAnsi"/>
              </w:rPr>
            </w:pPr>
            <w:r>
              <w:rPr>
                <w:rFonts w:cstheme="minorHAnsi"/>
              </w:rPr>
              <w:t xml:space="preserve">Atıksu Debimetre istasyonu teknik şartları (Madde 14.3)          </w:t>
            </w:r>
          </w:p>
          <w:p w:rsidR="00596A99" w:rsidRDefault="00823EF2" w:rsidP="00596A99">
            <w:pPr>
              <w:rPr>
                <w:rFonts w:cstheme="minorHAnsi"/>
              </w:rPr>
            </w:pPr>
            <w:r w:rsidRPr="00027223">
              <w:rPr>
                <w:rFonts w:cstheme="minorHAnsi"/>
                <w:bCs/>
                <w:i/>
                <w:sz w:val="20"/>
              </w:rPr>
              <w:t>“Katılımcı, Atıksu Debimetre İstasyonu kurulumuna ilişkin termin planını DOSAB’a sunar. Bu süre 90 takvim gününü geçemez. Atıksu debimetre istasyonu kurulumuna ilişkin iş termin planına uyul</w:t>
            </w:r>
            <w:r w:rsidRPr="00027223">
              <w:rPr>
                <w:rFonts w:cstheme="minorHAnsi"/>
                <w:bCs/>
                <w:i/>
                <w:sz w:val="20"/>
              </w:rPr>
              <w:t>maması durumunda</w:t>
            </w:r>
            <w:r>
              <w:rPr>
                <w:rFonts w:cstheme="minorHAnsi"/>
              </w:rPr>
              <w:t>”</w:t>
            </w:r>
          </w:p>
        </w:tc>
        <w:tc>
          <w:tcPr>
            <w:tcW w:w="6237" w:type="dxa"/>
            <w:vAlign w:val="center"/>
          </w:tcPr>
          <w:p w:rsidR="00596A99" w:rsidRDefault="00823EF2" w:rsidP="00596A99">
            <w:pPr>
              <w:jc w:val="center"/>
              <w:rPr>
                <w:sz w:val="20"/>
                <w:szCs w:val="20"/>
              </w:rPr>
            </w:pPr>
            <w:r>
              <w:rPr>
                <w:sz w:val="20"/>
                <w:szCs w:val="20"/>
              </w:rPr>
              <w:t>10 000 TL</w:t>
            </w:r>
          </w:p>
          <w:p w:rsidR="00596A99" w:rsidRDefault="00823EF2" w:rsidP="00596A99">
            <w:pPr>
              <w:jc w:val="center"/>
              <w:rPr>
                <w:sz w:val="20"/>
                <w:szCs w:val="20"/>
              </w:rPr>
            </w:pPr>
            <w:r>
              <w:rPr>
                <w:sz w:val="20"/>
                <w:szCs w:val="20"/>
              </w:rPr>
              <w:t>ya da</w:t>
            </w:r>
          </w:p>
          <w:p w:rsidR="001757BE" w:rsidRDefault="00823EF2" w:rsidP="00596A99">
            <w:pPr>
              <w:jc w:val="center"/>
              <w:rPr>
                <w:sz w:val="20"/>
                <w:szCs w:val="20"/>
              </w:rPr>
            </w:pPr>
            <w:r>
              <w:rPr>
                <w:sz w:val="20"/>
                <w:szCs w:val="20"/>
              </w:rPr>
              <w:t>Bir önceki Takvim Yılı içerisindeki</w:t>
            </w:r>
          </w:p>
          <w:p w:rsidR="00596A99" w:rsidRDefault="00823EF2" w:rsidP="00596A99">
            <w:pPr>
              <w:jc w:val="center"/>
              <w:rPr>
                <w:sz w:val="20"/>
                <w:szCs w:val="20"/>
              </w:rPr>
            </w:pPr>
            <w:r>
              <w:rPr>
                <w:sz w:val="20"/>
                <w:szCs w:val="20"/>
              </w:rPr>
              <w:t xml:space="preserve"> En Yüksek Aylık</w:t>
            </w:r>
            <w:r>
              <w:t xml:space="preserve"> </w:t>
            </w:r>
            <w:r>
              <w:rPr>
                <w:sz w:val="20"/>
                <w:szCs w:val="20"/>
              </w:rPr>
              <w:t>Atıksu Hizmet Bedelinin 2 katı</w:t>
            </w:r>
          </w:p>
        </w:tc>
      </w:tr>
      <w:tr w:rsidR="003D357A" w:rsidTr="001757BE">
        <w:trPr>
          <w:trHeight w:val="1546"/>
        </w:trPr>
        <w:tc>
          <w:tcPr>
            <w:tcW w:w="550" w:type="dxa"/>
            <w:vAlign w:val="center"/>
          </w:tcPr>
          <w:p w:rsidR="00596A99" w:rsidRDefault="00823EF2" w:rsidP="00596A99">
            <w:pPr>
              <w:rPr>
                <w:sz w:val="20"/>
                <w:szCs w:val="20"/>
              </w:rPr>
            </w:pPr>
            <w:r>
              <w:rPr>
                <w:sz w:val="20"/>
                <w:szCs w:val="20"/>
              </w:rPr>
              <w:t>20</w:t>
            </w:r>
          </w:p>
        </w:tc>
        <w:tc>
          <w:tcPr>
            <w:tcW w:w="7242" w:type="dxa"/>
            <w:vAlign w:val="center"/>
          </w:tcPr>
          <w:p w:rsidR="001757BE" w:rsidRDefault="00823EF2" w:rsidP="00596A99">
            <w:pPr>
              <w:rPr>
                <w:rFonts w:cstheme="minorHAnsi"/>
              </w:rPr>
            </w:pPr>
            <w:r>
              <w:rPr>
                <w:rFonts w:cstheme="minorHAnsi"/>
              </w:rPr>
              <w:t xml:space="preserve">Denetim Esasları (Madde 17.2)                                                     </w:t>
            </w:r>
          </w:p>
          <w:p w:rsidR="00596A99" w:rsidRDefault="00823EF2" w:rsidP="00596A99">
            <w:pPr>
              <w:rPr>
                <w:rFonts w:cstheme="minorHAnsi"/>
              </w:rPr>
            </w:pPr>
            <w:r w:rsidRPr="00027223">
              <w:rPr>
                <w:rFonts w:cstheme="minorHAnsi"/>
                <w:i/>
                <w:sz w:val="20"/>
              </w:rPr>
              <w:t>“Katılımcı, denetim amacı ile gelen, gerekli kimlik</w:t>
            </w:r>
            <w:r w:rsidRPr="00027223">
              <w:rPr>
                <w:rFonts w:cstheme="minorHAnsi"/>
                <w:i/>
                <w:sz w:val="20"/>
              </w:rPr>
              <w:t xml:space="preserve"> ve belgeye sahip DOSAB yetkililerini veya DOSAB tarafından görevlendirilmiş yetkili kuruluş elemanlarını, bekletmeden tesis içine almakla, numune almada ve ölçümde kullanılacak kontrol bacalarını hazır halde bulundurmakla ve DOSAB’ın denetimine hazır olma</w:t>
            </w:r>
            <w:r w:rsidRPr="00027223">
              <w:rPr>
                <w:rFonts w:cstheme="minorHAnsi"/>
                <w:i/>
                <w:sz w:val="20"/>
              </w:rPr>
              <w:t>kla yükümlüdürler”</w:t>
            </w:r>
            <w:r w:rsidRPr="00027223">
              <w:rPr>
                <w:rFonts w:cstheme="minorHAnsi"/>
                <w:sz w:val="20"/>
              </w:rPr>
              <w:t xml:space="preserve">  </w:t>
            </w:r>
          </w:p>
        </w:tc>
        <w:tc>
          <w:tcPr>
            <w:tcW w:w="6237" w:type="dxa"/>
            <w:vAlign w:val="center"/>
          </w:tcPr>
          <w:p w:rsidR="00596A99" w:rsidRDefault="00823EF2" w:rsidP="00596A99">
            <w:pPr>
              <w:jc w:val="center"/>
              <w:rPr>
                <w:sz w:val="20"/>
                <w:szCs w:val="20"/>
              </w:rPr>
            </w:pPr>
            <w:r>
              <w:rPr>
                <w:sz w:val="20"/>
                <w:szCs w:val="20"/>
              </w:rPr>
              <w:t>10 000 TL</w:t>
            </w:r>
          </w:p>
          <w:p w:rsidR="00596A99" w:rsidRDefault="00823EF2" w:rsidP="00596A99">
            <w:pPr>
              <w:jc w:val="center"/>
              <w:rPr>
                <w:sz w:val="20"/>
                <w:szCs w:val="20"/>
              </w:rPr>
            </w:pPr>
            <w:r>
              <w:rPr>
                <w:sz w:val="20"/>
                <w:szCs w:val="20"/>
              </w:rPr>
              <w:t>ya da</w:t>
            </w:r>
          </w:p>
          <w:p w:rsidR="001757BE" w:rsidRDefault="00823EF2" w:rsidP="00596A99">
            <w:pPr>
              <w:jc w:val="center"/>
              <w:rPr>
                <w:sz w:val="20"/>
                <w:szCs w:val="20"/>
              </w:rPr>
            </w:pPr>
            <w:r>
              <w:rPr>
                <w:sz w:val="20"/>
                <w:szCs w:val="20"/>
              </w:rPr>
              <w:t xml:space="preserve">Bir önceki Takvim Yılı içerisindeki </w:t>
            </w:r>
          </w:p>
          <w:p w:rsidR="00596A99" w:rsidRDefault="00823EF2" w:rsidP="00596A99">
            <w:pPr>
              <w:jc w:val="center"/>
              <w:rPr>
                <w:sz w:val="20"/>
                <w:szCs w:val="20"/>
              </w:rPr>
            </w:pPr>
            <w:r>
              <w:rPr>
                <w:sz w:val="20"/>
                <w:szCs w:val="20"/>
              </w:rPr>
              <w:t>En Yüksek Aylık</w:t>
            </w:r>
            <w:r>
              <w:t xml:space="preserve"> </w:t>
            </w:r>
            <w:r>
              <w:rPr>
                <w:sz w:val="20"/>
                <w:szCs w:val="20"/>
              </w:rPr>
              <w:t>Atıksu Hizmet Bedelinin 2 katı</w:t>
            </w:r>
          </w:p>
        </w:tc>
      </w:tr>
      <w:tr w:rsidR="003D357A" w:rsidTr="001757BE">
        <w:trPr>
          <w:trHeight w:val="2401"/>
        </w:trPr>
        <w:tc>
          <w:tcPr>
            <w:tcW w:w="550" w:type="dxa"/>
            <w:vAlign w:val="center"/>
          </w:tcPr>
          <w:p w:rsidR="00596A99" w:rsidRDefault="00823EF2" w:rsidP="00596A99">
            <w:pPr>
              <w:rPr>
                <w:sz w:val="20"/>
                <w:szCs w:val="20"/>
              </w:rPr>
            </w:pPr>
            <w:r>
              <w:rPr>
                <w:sz w:val="20"/>
                <w:szCs w:val="20"/>
              </w:rPr>
              <w:t>21</w:t>
            </w:r>
          </w:p>
        </w:tc>
        <w:tc>
          <w:tcPr>
            <w:tcW w:w="7242" w:type="dxa"/>
            <w:vAlign w:val="center"/>
          </w:tcPr>
          <w:p w:rsidR="001757BE" w:rsidRDefault="00823EF2" w:rsidP="00596A99">
            <w:pPr>
              <w:rPr>
                <w:rFonts w:cstheme="minorHAnsi"/>
              </w:rPr>
            </w:pPr>
            <w:r>
              <w:rPr>
                <w:rFonts w:cstheme="minorHAnsi"/>
              </w:rPr>
              <w:t xml:space="preserve">Özdenetim (Madde 18.1)                                                        </w:t>
            </w:r>
          </w:p>
          <w:p w:rsidR="00596A99" w:rsidRDefault="00823EF2" w:rsidP="00596A99">
            <w:pPr>
              <w:rPr>
                <w:rFonts w:cstheme="minorHAnsi"/>
              </w:rPr>
            </w:pPr>
            <w:r w:rsidRPr="00027223">
              <w:rPr>
                <w:rFonts w:cstheme="minorHAnsi"/>
                <w:i/>
                <w:sz w:val="20"/>
              </w:rPr>
              <w:t>“Katılımcı, deşarjının veya ön arıtma tesisi sonrası</w:t>
            </w:r>
            <w:r w:rsidRPr="00027223">
              <w:rPr>
                <w:rFonts w:cstheme="minorHAnsi"/>
                <w:i/>
                <w:sz w:val="20"/>
              </w:rPr>
              <w:t xml:space="preserve"> deşarjının Tablo 1’de verilen standart değerlerini herhangi bir nedenle sağlamadığını tespit etmesi durumunda, bu durumu 24 saat içerisinde DOSAB’a yazılı olarak bildirmek zorundadır. Bu bildirim yapıldığı takdirde uygunsuzluğun giderilmesi için DOSAB tar</w:t>
            </w:r>
            <w:r w:rsidRPr="00027223">
              <w:rPr>
                <w:rFonts w:cstheme="minorHAnsi"/>
                <w:i/>
                <w:sz w:val="20"/>
              </w:rPr>
              <w:t xml:space="preserve">afından makul bir süre verilir ve bu süre içerisinde idari yaptırım uygulanmaz. DOSAB tarafından verilen sürenin sonunda, numune alınarak, bedeli Katılımcı tarafından ödenmek kaydıyla, analiz yapılır/yaptırılır. Herhangi bir uygunsuzluk tespiti durumunda, </w:t>
            </w:r>
            <w:r w:rsidRPr="00027223">
              <w:rPr>
                <w:rFonts w:cstheme="minorHAnsi"/>
                <w:i/>
                <w:sz w:val="20"/>
              </w:rPr>
              <w:t xml:space="preserve">“                                                           </w:t>
            </w:r>
          </w:p>
        </w:tc>
        <w:tc>
          <w:tcPr>
            <w:tcW w:w="6237" w:type="dxa"/>
            <w:vAlign w:val="center"/>
          </w:tcPr>
          <w:p w:rsidR="00596A99" w:rsidRDefault="00596A99" w:rsidP="00596A99">
            <w:pPr>
              <w:jc w:val="center"/>
              <w:rPr>
                <w:sz w:val="20"/>
                <w:szCs w:val="20"/>
              </w:rPr>
            </w:pPr>
          </w:p>
          <w:p w:rsidR="00596A99" w:rsidRDefault="00823EF2" w:rsidP="00596A99">
            <w:pPr>
              <w:jc w:val="center"/>
              <w:rPr>
                <w:sz w:val="20"/>
                <w:szCs w:val="20"/>
              </w:rPr>
            </w:pPr>
            <w:r>
              <w:rPr>
                <w:sz w:val="20"/>
                <w:szCs w:val="20"/>
              </w:rPr>
              <w:t>10 000 TL</w:t>
            </w:r>
          </w:p>
          <w:p w:rsidR="00596A99" w:rsidRDefault="00823EF2" w:rsidP="00596A99">
            <w:pPr>
              <w:jc w:val="center"/>
              <w:rPr>
                <w:sz w:val="20"/>
                <w:szCs w:val="20"/>
              </w:rPr>
            </w:pPr>
            <w:r>
              <w:rPr>
                <w:sz w:val="20"/>
                <w:szCs w:val="20"/>
              </w:rPr>
              <w:t>ya da</w:t>
            </w:r>
          </w:p>
          <w:p w:rsidR="001757BE" w:rsidRDefault="00823EF2" w:rsidP="00596A99">
            <w:pPr>
              <w:jc w:val="center"/>
              <w:rPr>
                <w:sz w:val="20"/>
                <w:szCs w:val="20"/>
              </w:rPr>
            </w:pPr>
            <w:r>
              <w:rPr>
                <w:sz w:val="20"/>
                <w:szCs w:val="20"/>
              </w:rPr>
              <w:t xml:space="preserve">Bir önceki Takvim Yılı içerisindeki </w:t>
            </w:r>
          </w:p>
          <w:p w:rsidR="00596A99" w:rsidRDefault="00823EF2" w:rsidP="00596A99">
            <w:pPr>
              <w:jc w:val="center"/>
              <w:rPr>
                <w:sz w:val="20"/>
                <w:szCs w:val="20"/>
              </w:rPr>
            </w:pPr>
            <w:r>
              <w:rPr>
                <w:sz w:val="20"/>
                <w:szCs w:val="20"/>
              </w:rPr>
              <w:t>En Yüksek Aylık</w:t>
            </w:r>
            <w:r>
              <w:t xml:space="preserve"> </w:t>
            </w:r>
            <w:r>
              <w:rPr>
                <w:sz w:val="20"/>
                <w:szCs w:val="20"/>
              </w:rPr>
              <w:t>Atıksu Hizmet Bedelinin 2 katı</w:t>
            </w:r>
          </w:p>
        </w:tc>
      </w:tr>
    </w:tbl>
    <w:p w:rsidR="00E83CF1" w:rsidRPr="008E77DF" w:rsidRDefault="00823EF2" w:rsidP="001757BE">
      <w:pPr>
        <w:spacing w:after="0"/>
        <w:jc w:val="both"/>
        <w:rPr>
          <w:sz w:val="20"/>
          <w:szCs w:val="20"/>
        </w:rPr>
      </w:pPr>
      <w:r w:rsidRPr="008E77DF">
        <w:rPr>
          <w:sz w:val="20"/>
          <w:szCs w:val="20"/>
        </w:rPr>
        <w:t xml:space="preserve">* Bu yaptırıma ilave olarak ortaya çıkan, çıkabilecek tüm hasarlardan doğrudan sorumludur. </w:t>
      </w:r>
      <w:r w:rsidRPr="008E77DF">
        <w:rPr>
          <w:sz w:val="20"/>
          <w:szCs w:val="20"/>
        </w:rPr>
        <w:t>Yenileme ve onarım masrafları katılımcıya rücu ettirilir.</w:t>
      </w:r>
    </w:p>
    <w:p w:rsidR="008E77DF" w:rsidRDefault="00823EF2" w:rsidP="001757BE">
      <w:pPr>
        <w:spacing w:after="0"/>
        <w:jc w:val="both"/>
        <w:rPr>
          <w:rFonts w:cstheme="minorHAnsi"/>
          <w:bCs/>
          <w:sz w:val="20"/>
          <w:szCs w:val="20"/>
        </w:rPr>
      </w:pPr>
      <w:r w:rsidRPr="008E77DF">
        <w:rPr>
          <w:rFonts w:cstheme="minorHAnsi"/>
          <w:bCs/>
          <w:sz w:val="20"/>
          <w:szCs w:val="20"/>
        </w:rPr>
        <w:t>** Bu yaptırıma ilave olarak, bir önceki takvim yılında aynı aya ait atıksu miktarını esas alarak katılımcıya Atıksu Hizmet Bedeli miktarının %50 fazlası fatura edilir.</w:t>
      </w:r>
    </w:p>
    <w:p w:rsidR="00192B27" w:rsidRDefault="00823EF2" w:rsidP="001757BE">
      <w:pPr>
        <w:spacing w:after="0"/>
        <w:jc w:val="both"/>
        <w:rPr>
          <w:rFonts w:cstheme="minorHAnsi"/>
          <w:bCs/>
          <w:sz w:val="20"/>
          <w:szCs w:val="20"/>
        </w:rPr>
      </w:pPr>
      <w:r>
        <w:rPr>
          <w:rFonts w:cstheme="minorHAnsi"/>
          <w:bCs/>
          <w:sz w:val="20"/>
          <w:szCs w:val="20"/>
        </w:rPr>
        <w:t>*** Kirlilik Önlem Bedeli (KÖ</w:t>
      </w:r>
      <w:r>
        <w:rPr>
          <w:rFonts w:cstheme="minorHAnsi"/>
          <w:bCs/>
          <w:sz w:val="20"/>
          <w:szCs w:val="20"/>
        </w:rPr>
        <w:t>B) belirlenirken, sabit TL tutarı ve bir önceki takvim yılı içerisindeki en yüksek aylık Atıksu hizmet bedelinin katları şeklinde hesaplanan tutardan yüksek olan KÖB değeri alınır.</w:t>
      </w:r>
    </w:p>
    <w:p w:rsidR="009E7A0F" w:rsidRDefault="00823EF2" w:rsidP="001757BE">
      <w:pPr>
        <w:spacing w:after="0"/>
        <w:jc w:val="both"/>
        <w:rPr>
          <w:rFonts w:cstheme="minorHAnsi"/>
          <w:bCs/>
          <w:sz w:val="20"/>
          <w:szCs w:val="20"/>
        </w:rPr>
      </w:pPr>
      <w:r w:rsidRPr="00C41E45">
        <w:rPr>
          <w:rFonts w:cstheme="minorHAnsi"/>
          <w:bCs/>
          <w:sz w:val="20"/>
          <w:szCs w:val="20"/>
        </w:rPr>
        <w:t xml:space="preserve">****Kirlilik Önlem Bedeli tutarı, ödemenin on beş (15) günlük vadesi </w:t>
      </w:r>
      <w:r w:rsidRPr="00C41E45">
        <w:rPr>
          <w:rFonts w:cstheme="minorHAnsi"/>
          <w:bCs/>
          <w:sz w:val="20"/>
          <w:szCs w:val="20"/>
        </w:rPr>
        <w:t>içerisinde yapılması halinde tutarın dörtte üçü tahsil edilir.</w:t>
      </w:r>
    </w:p>
    <w:p w:rsidR="001757BE" w:rsidRPr="00C41E45" w:rsidRDefault="00823EF2">
      <w:pPr>
        <w:spacing w:after="0"/>
        <w:jc w:val="both"/>
        <w:rPr>
          <w:rFonts w:cstheme="minorHAnsi"/>
          <w:bCs/>
          <w:sz w:val="20"/>
          <w:szCs w:val="20"/>
        </w:rPr>
      </w:pPr>
      <w:r>
        <w:rPr>
          <w:rFonts w:cstheme="minorHAnsi"/>
          <w:bCs/>
          <w:sz w:val="20"/>
          <w:szCs w:val="20"/>
        </w:rPr>
        <w:t>*****Yukarıdaki fiyatlara %18 KDV dahil değildir.</w:t>
      </w:r>
    </w:p>
    <w:sectPr w:rsidR="001757BE" w:rsidRPr="00C41E45" w:rsidSect="00C013A1">
      <w:headerReference w:type="default" r:id="rId9"/>
      <w:pgSz w:w="16838" w:h="11906" w:orient="landscape"/>
      <w:pgMar w:top="426" w:right="1418" w:bottom="567"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F2" w:rsidRDefault="00823EF2">
      <w:pPr>
        <w:spacing w:after="0" w:line="240" w:lineRule="auto"/>
      </w:pPr>
      <w:r>
        <w:separator/>
      </w:r>
    </w:p>
  </w:endnote>
  <w:endnote w:type="continuationSeparator" w:id="0">
    <w:p w:rsidR="00823EF2" w:rsidRDefault="0082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F2" w:rsidRDefault="00823EF2">
      <w:pPr>
        <w:spacing w:after="0" w:line="240" w:lineRule="auto"/>
      </w:pPr>
      <w:r>
        <w:separator/>
      </w:r>
    </w:p>
  </w:footnote>
  <w:footnote w:type="continuationSeparator" w:id="0">
    <w:p w:rsidR="00823EF2" w:rsidRDefault="00823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3908" w:type="dxa"/>
      <w:tblInd w:w="108" w:type="dxa"/>
      <w:tblBorders>
        <w:top w:val="single" w:sz="4" w:space="0" w:color="8DB3E2" w:themeColor="text2" w:themeTint="66"/>
        <w:left w:val="none" w:sz="0" w:space="0" w:color="auto"/>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439"/>
      <w:gridCol w:w="9214"/>
      <w:gridCol w:w="1985"/>
      <w:gridCol w:w="270"/>
    </w:tblGrid>
    <w:tr w:rsidR="003D357A" w:rsidTr="00B10297">
      <w:trPr>
        <w:trHeight w:val="934"/>
      </w:trPr>
      <w:tc>
        <w:tcPr>
          <w:tcW w:w="2439" w:type="dxa"/>
          <w:tcBorders>
            <w:top w:val="single" w:sz="4" w:space="0" w:color="auto"/>
            <w:left w:val="single" w:sz="4" w:space="0" w:color="auto"/>
            <w:bottom w:val="single" w:sz="4" w:space="0" w:color="auto"/>
            <w:right w:val="single" w:sz="4" w:space="0" w:color="auto"/>
          </w:tcBorders>
          <w:vAlign w:val="center"/>
        </w:tcPr>
        <w:p w:rsidR="00B10297" w:rsidRDefault="00823EF2" w:rsidP="00B10297">
          <w:pPr>
            <w:pStyle w:val="stbilgi"/>
            <w:tabs>
              <w:tab w:val="clear" w:pos="4536"/>
              <w:tab w:val="clear" w:pos="9072"/>
              <w:tab w:val="right" w:pos="2302"/>
            </w:tabs>
            <w:ind w:left="-108"/>
            <w:jc w:val="center"/>
          </w:pPr>
          <w:r w:rsidRPr="000B1609">
            <w:rPr>
              <w:noProof/>
              <w:lang w:eastAsia="tr-TR"/>
            </w:rPr>
            <w:drawing>
              <wp:inline distT="0" distB="0" distL="0" distR="0">
                <wp:extent cx="1371600" cy="457200"/>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 cstate="print"/>
                        <a:stretch>
                          <a:fillRect/>
                        </a:stretch>
                      </pic:blipFill>
                      <pic:spPr bwMode="auto">
                        <a:xfrm>
                          <a:off x="0" y="0"/>
                          <a:ext cx="1370790" cy="456930"/>
                        </a:xfrm>
                        <a:prstGeom prst="rect">
                          <a:avLst/>
                        </a:prstGeom>
                        <a:noFill/>
                        <a:ln w="9525">
                          <a:noFill/>
                          <a:miter lim="800000"/>
                          <a:headEnd/>
                          <a:tailEnd/>
                        </a:ln>
                      </pic:spPr>
                    </pic:pic>
                  </a:graphicData>
                </a:graphic>
              </wp:inline>
            </w:drawing>
          </w:r>
        </w:p>
      </w:tc>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10297" w:rsidRPr="00D93E20" w:rsidRDefault="00823EF2" w:rsidP="00B10297">
          <w:pPr>
            <w:pStyle w:val="Gvdemetni30"/>
            <w:shd w:val="clear" w:color="auto" w:fill="auto"/>
            <w:spacing w:line="240" w:lineRule="auto"/>
            <w:ind w:left="142" w:right="144"/>
            <w:rPr>
              <w:rFonts w:asciiTheme="minorHAnsi" w:hAnsiTheme="minorHAnsi" w:cstheme="minorHAnsi"/>
              <w:sz w:val="22"/>
              <w:szCs w:val="22"/>
            </w:rPr>
          </w:pPr>
          <w:r>
            <w:rPr>
              <w:rFonts w:asciiTheme="minorHAnsi" w:hAnsiTheme="minorHAnsi" w:cstheme="minorHAnsi"/>
              <w:sz w:val="22"/>
              <w:szCs w:val="22"/>
            </w:rPr>
            <w:t>EK-1 KİRLİLİK ÖNLEM BEDELİNE ESAS FAALİYETLER VE CEZA TUTARLARI</w:t>
          </w:r>
        </w:p>
      </w:tc>
      <w:tc>
        <w:tcPr>
          <w:tcW w:w="1985" w:type="dxa"/>
          <w:tcBorders>
            <w:top w:val="single" w:sz="4" w:space="0" w:color="auto"/>
            <w:left w:val="single" w:sz="4" w:space="0" w:color="auto"/>
            <w:bottom w:val="single" w:sz="4" w:space="0" w:color="auto"/>
            <w:right w:val="nil"/>
          </w:tcBorders>
          <w:shd w:val="clear" w:color="auto" w:fill="auto"/>
          <w:vAlign w:val="center"/>
        </w:tcPr>
        <w:p w:rsidR="00B10297" w:rsidRPr="002401F1" w:rsidRDefault="00823EF2" w:rsidP="00B10297">
          <w:pPr>
            <w:rPr>
              <w:sz w:val="16"/>
              <w:szCs w:val="16"/>
            </w:rPr>
          </w:pPr>
          <w:r w:rsidRPr="002401F1">
            <w:rPr>
              <w:sz w:val="16"/>
              <w:szCs w:val="16"/>
            </w:rPr>
            <w:t xml:space="preserve">Belge No:       DO.EK.08.E38  </w:t>
          </w:r>
        </w:p>
        <w:p w:rsidR="00B10297" w:rsidRPr="002401F1" w:rsidRDefault="00823EF2" w:rsidP="00B10297">
          <w:pPr>
            <w:ind w:left="709" w:hanging="709"/>
            <w:rPr>
              <w:sz w:val="16"/>
              <w:szCs w:val="16"/>
            </w:rPr>
          </w:pPr>
          <w:r>
            <w:rPr>
              <w:sz w:val="16"/>
              <w:szCs w:val="16"/>
            </w:rPr>
            <w:t>Y. Tarihi:</w:t>
          </w:r>
          <w:r>
            <w:rPr>
              <w:sz w:val="16"/>
              <w:szCs w:val="16"/>
            </w:rPr>
            <w:tab/>
            <w:t xml:space="preserve">     01.04.20222</w:t>
          </w:r>
        </w:p>
        <w:p w:rsidR="00B10297" w:rsidRPr="002401F1" w:rsidRDefault="00823EF2" w:rsidP="00B10297">
          <w:pPr>
            <w:rPr>
              <w:sz w:val="16"/>
              <w:szCs w:val="16"/>
            </w:rPr>
          </w:pPr>
          <w:r>
            <w:rPr>
              <w:sz w:val="16"/>
              <w:szCs w:val="16"/>
            </w:rPr>
            <w:t>Rev. No:          00</w:t>
          </w:r>
        </w:p>
        <w:p w:rsidR="00B10297" w:rsidRDefault="00823EF2" w:rsidP="00B10297">
          <w:pPr>
            <w:rPr>
              <w:sz w:val="16"/>
              <w:szCs w:val="16"/>
            </w:rPr>
          </w:pPr>
          <w:r>
            <w:rPr>
              <w:sz w:val="16"/>
              <w:szCs w:val="16"/>
            </w:rPr>
            <w:t xml:space="preserve">Rev. Tarihi:     </w:t>
          </w:r>
        </w:p>
        <w:p w:rsidR="00B10297" w:rsidRPr="002401F1" w:rsidRDefault="00823EF2" w:rsidP="00B10297">
          <w:pPr>
            <w:rPr>
              <w:sz w:val="16"/>
              <w:szCs w:val="16"/>
            </w:rPr>
          </w:pPr>
          <w:r w:rsidRPr="00344B5D">
            <w:rPr>
              <w:sz w:val="16"/>
              <w:szCs w:val="16"/>
            </w:rPr>
            <w:t xml:space="preserve">Sayfa </w:t>
          </w:r>
          <w:r w:rsidRPr="00344B5D">
            <w:rPr>
              <w:sz w:val="16"/>
              <w:szCs w:val="16"/>
            </w:rPr>
            <w:fldChar w:fldCharType="begin"/>
          </w:r>
          <w:r w:rsidRPr="00344B5D">
            <w:rPr>
              <w:sz w:val="16"/>
              <w:szCs w:val="16"/>
            </w:rPr>
            <w:instrText xml:space="preserve"> PAGE </w:instrText>
          </w:r>
          <w:r w:rsidRPr="00344B5D">
            <w:rPr>
              <w:sz w:val="16"/>
              <w:szCs w:val="16"/>
            </w:rPr>
            <w:fldChar w:fldCharType="separate"/>
          </w:r>
          <w:r w:rsidR="00820186">
            <w:rPr>
              <w:noProof/>
              <w:sz w:val="16"/>
              <w:szCs w:val="16"/>
            </w:rPr>
            <w:t>5</w:t>
          </w:r>
          <w:r w:rsidRPr="00344B5D">
            <w:rPr>
              <w:sz w:val="16"/>
              <w:szCs w:val="16"/>
            </w:rPr>
            <w:fldChar w:fldCharType="end"/>
          </w:r>
          <w:r w:rsidRPr="00344B5D">
            <w:rPr>
              <w:sz w:val="16"/>
              <w:szCs w:val="16"/>
            </w:rPr>
            <w:t xml:space="preserve"> / </w:t>
          </w:r>
          <w:r w:rsidRPr="00344B5D">
            <w:rPr>
              <w:sz w:val="16"/>
              <w:szCs w:val="16"/>
            </w:rPr>
            <w:fldChar w:fldCharType="begin"/>
          </w:r>
          <w:r w:rsidRPr="00344B5D">
            <w:rPr>
              <w:sz w:val="16"/>
              <w:szCs w:val="16"/>
            </w:rPr>
            <w:instrText xml:space="preserve"> NUMPAGES  </w:instrText>
          </w:r>
          <w:r w:rsidRPr="00344B5D">
            <w:rPr>
              <w:sz w:val="16"/>
              <w:szCs w:val="16"/>
            </w:rPr>
            <w:fldChar w:fldCharType="separate"/>
          </w:r>
          <w:r w:rsidR="00820186">
            <w:rPr>
              <w:noProof/>
              <w:sz w:val="16"/>
              <w:szCs w:val="16"/>
            </w:rPr>
            <w:t>5</w:t>
          </w:r>
          <w:r w:rsidRPr="00344B5D">
            <w:rPr>
              <w:sz w:val="16"/>
              <w:szCs w:val="16"/>
            </w:rPr>
            <w:fldChar w:fldCharType="end"/>
          </w:r>
        </w:p>
      </w:tc>
      <w:tc>
        <w:tcPr>
          <w:tcW w:w="270" w:type="dxa"/>
          <w:tcBorders>
            <w:top w:val="single" w:sz="4" w:space="0" w:color="auto"/>
            <w:left w:val="nil"/>
            <w:bottom w:val="single" w:sz="4" w:space="0" w:color="auto"/>
            <w:right w:val="single" w:sz="4" w:space="0" w:color="auto"/>
          </w:tcBorders>
        </w:tcPr>
        <w:p w:rsidR="00B10297" w:rsidRPr="002401F1" w:rsidRDefault="00B10297" w:rsidP="00B10297">
          <w:pPr>
            <w:spacing w:line="120" w:lineRule="atLeast"/>
            <w:rPr>
              <w:sz w:val="16"/>
              <w:szCs w:val="16"/>
            </w:rPr>
          </w:pPr>
        </w:p>
      </w:tc>
    </w:tr>
  </w:tbl>
  <w:p w:rsidR="00A717C8" w:rsidRDefault="00A717C8" w:rsidP="00B1029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25C"/>
    <w:multiLevelType w:val="hybridMultilevel"/>
    <w:tmpl w:val="89CA71D0"/>
    <w:lvl w:ilvl="0" w:tplc="9EF0DA7C">
      <w:start w:val="1"/>
      <w:numFmt w:val="decimal"/>
      <w:lvlText w:val="%1."/>
      <w:lvlJc w:val="left"/>
      <w:pPr>
        <w:ind w:left="720" w:hanging="360"/>
      </w:pPr>
      <w:rPr>
        <w:rFonts w:hint="default"/>
      </w:rPr>
    </w:lvl>
    <w:lvl w:ilvl="1" w:tplc="8A80D820" w:tentative="1">
      <w:start w:val="1"/>
      <w:numFmt w:val="lowerLetter"/>
      <w:lvlText w:val="%2."/>
      <w:lvlJc w:val="left"/>
      <w:pPr>
        <w:ind w:left="1440" w:hanging="360"/>
      </w:pPr>
    </w:lvl>
    <w:lvl w:ilvl="2" w:tplc="CDCC9E12" w:tentative="1">
      <w:start w:val="1"/>
      <w:numFmt w:val="lowerRoman"/>
      <w:lvlText w:val="%3."/>
      <w:lvlJc w:val="right"/>
      <w:pPr>
        <w:ind w:left="2160" w:hanging="180"/>
      </w:pPr>
    </w:lvl>
    <w:lvl w:ilvl="3" w:tplc="988A5750" w:tentative="1">
      <w:start w:val="1"/>
      <w:numFmt w:val="decimal"/>
      <w:lvlText w:val="%4."/>
      <w:lvlJc w:val="left"/>
      <w:pPr>
        <w:ind w:left="2880" w:hanging="360"/>
      </w:pPr>
    </w:lvl>
    <w:lvl w:ilvl="4" w:tplc="0556F578" w:tentative="1">
      <w:start w:val="1"/>
      <w:numFmt w:val="lowerLetter"/>
      <w:lvlText w:val="%5."/>
      <w:lvlJc w:val="left"/>
      <w:pPr>
        <w:ind w:left="3600" w:hanging="360"/>
      </w:pPr>
    </w:lvl>
    <w:lvl w:ilvl="5" w:tplc="B99ADFC2" w:tentative="1">
      <w:start w:val="1"/>
      <w:numFmt w:val="lowerRoman"/>
      <w:lvlText w:val="%6."/>
      <w:lvlJc w:val="right"/>
      <w:pPr>
        <w:ind w:left="4320" w:hanging="180"/>
      </w:pPr>
    </w:lvl>
    <w:lvl w:ilvl="6" w:tplc="A4F8548A" w:tentative="1">
      <w:start w:val="1"/>
      <w:numFmt w:val="decimal"/>
      <w:lvlText w:val="%7."/>
      <w:lvlJc w:val="left"/>
      <w:pPr>
        <w:ind w:left="5040" w:hanging="360"/>
      </w:pPr>
    </w:lvl>
    <w:lvl w:ilvl="7" w:tplc="B3928CE6" w:tentative="1">
      <w:start w:val="1"/>
      <w:numFmt w:val="lowerLetter"/>
      <w:lvlText w:val="%8."/>
      <w:lvlJc w:val="left"/>
      <w:pPr>
        <w:ind w:left="5760" w:hanging="360"/>
      </w:pPr>
    </w:lvl>
    <w:lvl w:ilvl="8" w:tplc="FAAEABE4" w:tentative="1">
      <w:start w:val="1"/>
      <w:numFmt w:val="lowerRoman"/>
      <w:lvlText w:val="%9."/>
      <w:lvlJc w:val="right"/>
      <w:pPr>
        <w:ind w:left="6480" w:hanging="180"/>
      </w:pPr>
    </w:lvl>
  </w:abstractNum>
  <w:abstractNum w:abstractNumId="1">
    <w:nsid w:val="1E030448"/>
    <w:multiLevelType w:val="hybridMultilevel"/>
    <w:tmpl w:val="CFFEF07A"/>
    <w:lvl w:ilvl="0" w:tplc="514EA10C">
      <w:start w:val="100"/>
      <w:numFmt w:val="bullet"/>
      <w:lvlText w:val=""/>
      <w:lvlJc w:val="left"/>
      <w:pPr>
        <w:ind w:left="720" w:hanging="360"/>
      </w:pPr>
      <w:rPr>
        <w:rFonts w:ascii="Symbol" w:eastAsiaTheme="minorHAnsi" w:hAnsi="Symbol" w:cstheme="minorBidi" w:hint="default"/>
      </w:rPr>
    </w:lvl>
    <w:lvl w:ilvl="1" w:tplc="E7564A0A" w:tentative="1">
      <w:start w:val="1"/>
      <w:numFmt w:val="bullet"/>
      <w:lvlText w:val="o"/>
      <w:lvlJc w:val="left"/>
      <w:pPr>
        <w:ind w:left="1440" w:hanging="360"/>
      </w:pPr>
      <w:rPr>
        <w:rFonts w:ascii="Courier New" w:hAnsi="Courier New" w:cs="Courier New" w:hint="default"/>
      </w:rPr>
    </w:lvl>
    <w:lvl w:ilvl="2" w:tplc="F9748E88" w:tentative="1">
      <w:start w:val="1"/>
      <w:numFmt w:val="bullet"/>
      <w:lvlText w:val=""/>
      <w:lvlJc w:val="left"/>
      <w:pPr>
        <w:ind w:left="2160" w:hanging="360"/>
      </w:pPr>
      <w:rPr>
        <w:rFonts w:ascii="Wingdings" w:hAnsi="Wingdings" w:hint="default"/>
      </w:rPr>
    </w:lvl>
    <w:lvl w:ilvl="3" w:tplc="76C4C738" w:tentative="1">
      <w:start w:val="1"/>
      <w:numFmt w:val="bullet"/>
      <w:lvlText w:val=""/>
      <w:lvlJc w:val="left"/>
      <w:pPr>
        <w:ind w:left="2880" w:hanging="360"/>
      </w:pPr>
      <w:rPr>
        <w:rFonts w:ascii="Symbol" w:hAnsi="Symbol" w:hint="default"/>
      </w:rPr>
    </w:lvl>
    <w:lvl w:ilvl="4" w:tplc="5DA881E4" w:tentative="1">
      <w:start w:val="1"/>
      <w:numFmt w:val="bullet"/>
      <w:lvlText w:val="o"/>
      <w:lvlJc w:val="left"/>
      <w:pPr>
        <w:ind w:left="3600" w:hanging="360"/>
      </w:pPr>
      <w:rPr>
        <w:rFonts w:ascii="Courier New" w:hAnsi="Courier New" w:cs="Courier New" w:hint="default"/>
      </w:rPr>
    </w:lvl>
    <w:lvl w:ilvl="5" w:tplc="8DFEED8C" w:tentative="1">
      <w:start w:val="1"/>
      <w:numFmt w:val="bullet"/>
      <w:lvlText w:val=""/>
      <w:lvlJc w:val="left"/>
      <w:pPr>
        <w:ind w:left="4320" w:hanging="360"/>
      </w:pPr>
      <w:rPr>
        <w:rFonts w:ascii="Wingdings" w:hAnsi="Wingdings" w:hint="default"/>
      </w:rPr>
    </w:lvl>
    <w:lvl w:ilvl="6" w:tplc="A0FC7CEE" w:tentative="1">
      <w:start w:val="1"/>
      <w:numFmt w:val="bullet"/>
      <w:lvlText w:val=""/>
      <w:lvlJc w:val="left"/>
      <w:pPr>
        <w:ind w:left="5040" w:hanging="360"/>
      </w:pPr>
      <w:rPr>
        <w:rFonts w:ascii="Symbol" w:hAnsi="Symbol" w:hint="default"/>
      </w:rPr>
    </w:lvl>
    <w:lvl w:ilvl="7" w:tplc="4DD42BD6" w:tentative="1">
      <w:start w:val="1"/>
      <w:numFmt w:val="bullet"/>
      <w:lvlText w:val="o"/>
      <w:lvlJc w:val="left"/>
      <w:pPr>
        <w:ind w:left="5760" w:hanging="360"/>
      </w:pPr>
      <w:rPr>
        <w:rFonts w:ascii="Courier New" w:hAnsi="Courier New" w:cs="Courier New" w:hint="default"/>
      </w:rPr>
    </w:lvl>
    <w:lvl w:ilvl="8" w:tplc="1450B3DE" w:tentative="1">
      <w:start w:val="1"/>
      <w:numFmt w:val="bullet"/>
      <w:lvlText w:val=""/>
      <w:lvlJc w:val="left"/>
      <w:pPr>
        <w:ind w:left="6480" w:hanging="360"/>
      </w:pPr>
      <w:rPr>
        <w:rFonts w:ascii="Wingdings" w:hAnsi="Wingdings" w:hint="default"/>
      </w:rPr>
    </w:lvl>
  </w:abstractNum>
  <w:abstractNum w:abstractNumId="2">
    <w:nsid w:val="70EA1DB6"/>
    <w:multiLevelType w:val="hybridMultilevel"/>
    <w:tmpl w:val="5DC0F14C"/>
    <w:lvl w:ilvl="0" w:tplc="22162634">
      <w:start w:val="50"/>
      <w:numFmt w:val="bullet"/>
      <w:lvlText w:val=""/>
      <w:lvlJc w:val="left"/>
      <w:pPr>
        <w:ind w:left="720" w:hanging="360"/>
      </w:pPr>
      <w:rPr>
        <w:rFonts w:ascii="Symbol" w:eastAsiaTheme="minorHAnsi" w:hAnsi="Symbol" w:cstheme="minorBidi" w:hint="default"/>
      </w:rPr>
    </w:lvl>
    <w:lvl w:ilvl="1" w:tplc="E5987642" w:tentative="1">
      <w:start w:val="1"/>
      <w:numFmt w:val="bullet"/>
      <w:lvlText w:val="o"/>
      <w:lvlJc w:val="left"/>
      <w:pPr>
        <w:ind w:left="1440" w:hanging="360"/>
      </w:pPr>
      <w:rPr>
        <w:rFonts w:ascii="Courier New" w:hAnsi="Courier New" w:cs="Courier New" w:hint="default"/>
      </w:rPr>
    </w:lvl>
    <w:lvl w:ilvl="2" w:tplc="668EB4F0" w:tentative="1">
      <w:start w:val="1"/>
      <w:numFmt w:val="bullet"/>
      <w:lvlText w:val=""/>
      <w:lvlJc w:val="left"/>
      <w:pPr>
        <w:ind w:left="2160" w:hanging="360"/>
      </w:pPr>
      <w:rPr>
        <w:rFonts w:ascii="Wingdings" w:hAnsi="Wingdings" w:hint="default"/>
      </w:rPr>
    </w:lvl>
    <w:lvl w:ilvl="3" w:tplc="D53011D0" w:tentative="1">
      <w:start w:val="1"/>
      <w:numFmt w:val="bullet"/>
      <w:lvlText w:val=""/>
      <w:lvlJc w:val="left"/>
      <w:pPr>
        <w:ind w:left="2880" w:hanging="360"/>
      </w:pPr>
      <w:rPr>
        <w:rFonts w:ascii="Symbol" w:hAnsi="Symbol" w:hint="default"/>
      </w:rPr>
    </w:lvl>
    <w:lvl w:ilvl="4" w:tplc="BBDC856E" w:tentative="1">
      <w:start w:val="1"/>
      <w:numFmt w:val="bullet"/>
      <w:lvlText w:val="o"/>
      <w:lvlJc w:val="left"/>
      <w:pPr>
        <w:ind w:left="3600" w:hanging="360"/>
      </w:pPr>
      <w:rPr>
        <w:rFonts w:ascii="Courier New" w:hAnsi="Courier New" w:cs="Courier New" w:hint="default"/>
      </w:rPr>
    </w:lvl>
    <w:lvl w:ilvl="5" w:tplc="6D06E75A" w:tentative="1">
      <w:start w:val="1"/>
      <w:numFmt w:val="bullet"/>
      <w:lvlText w:val=""/>
      <w:lvlJc w:val="left"/>
      <w:pPr>
        <w:ind w:left="4320" w:hanging="360"/>
      </w:pPr>
      <w:rPr>
        <w:rFonts w:ascii="Wingdings" w:hAnsi="Wingdings" w:hint="default"/>
      </w:rPr>
    </w:lvl>
    <w:lvl w:ilvl="6" w:tplc="15A0EF02" w:tentative="1">
      <w:start w:val="1"/>
      <w:numFmt w:val="bullet"/>
      <w:lvlText w:val=""/>
      <w:lvlJc w:val="left"/>
      <w:pPr>
        <w:ind w:left="5040" w:hanging="360"/>
      </w:pPr>
      <w:rPr>
        <w:rFonts w:ascii="Symbol" w:hAnsi="Symbol" w:hint="default"/>
      </w:rPr>
    </w:lvl>
    <w:lvl w:ilvl="7" w:tplc="AC48D64E" w:tentative="1">
      <w:start w:val="1"/>
      <w:numFmt w:val="bullet"/>
      <w:lvlText w:val="o"/>
      <w:lvlJc w:val="left"/>
      <w:pPr>
        <w:ind w:left="5760" w:hanging="360"/>
      </w:pPr>
      <w:rPr>
        <w:rFonts w:ascii="Courier New" w:hAnsi="Courier New" w:cs="Courier New" w:hint="default"/>
      </w:rPr>
    </w:lvl>
    <w:lvl w:ilvl="8" w:tplc="0BE4A9D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F1"/>
    <w:rsid w:val="00027223"/>
    <w:rsid w:val="00080C25"/>
    <w:rsid w:val="00125AAB"/>
    <w:rsid w:val="00136CAE"/>
    <w:rsid w:val="001757BE"/>
    <w:rsid w:val="00192B27"/>
    <w:rsid w:val="00195176"/>
    <w:rsid w:val="00213677"/>
    <w:rsid w:val="00225284"/>
    <w:rsid w:val="002401F1"/>
    <w:rsid w:val="00240DE0"/>
    <w:rsid w:val="00271BB1"/>
    <w:rsid w:val="002D2771"/>
    <w:rsid w:val="003203A9"/>
    <w:rsid w:val="00344B5D"/>
    <w:rsid w:val="003B3A8E"/>
    <w:rsid w:val="003B60BA"/>
    <w:rsid w:val="003B7A6C"/>
    <w:rsid w:val="003C1B1C"/>
    <w:rsid w:val="003C42FB"/>
    <w:rsid w:val="003D357A"/>
    <w:rsid w:val="003F2F90"/>
    <w:rsid w:val="00401778"/>
    <w:rsid w:val="0042435C"/>
    <w:rsid w:val="00441448"/>
    <w:rsid w:val="00596A99"/>
    <w:rsid w:val="005F3892"/>
    <w:rsid w:val="006045A6"/>
    <w:rsid w:val="006B6725"/>
    <w:rsid w:val="006E69AD"/>
    <w:rsid w:val="00742630"/>
    <w:rsid w:val="007A11E5"/>
    <w:rsid w:val="007E5491"/>
    <w:rsid w:val="00815A83"/>
    <w:rsid w:val="00820186"/>
    <w:rsid w:val="00823EF2"/>
    <w:rsid w:val="00894E8A"/>
    <w:rsid w:val="008E77DF"/>
    <w:rsid w:val="00956C26"/>
    <w:rsid w:val="00992991"/>
    <w:rsid w:val="00997AF6"/>
    <w:rsid w:val="009A7EAE"/>
    <w:rsid w:val="009E7A0F"/>
    <w:rsid w:val="00A21AB1"/>
    <w:rsid w:val="00A411BF"/>
    <w:rsid w:val="00A717C8"/>
    <w:rsid w:val="00AD6A13"/>
    <w:rsid w:val="00B04ABA"/>
    <w:rsid w:val="00B10297"/>
    <w:rsid w:val="00B35DB0"/>
    <w:rsid w:val="00B83B08"/>
    <w:rsid w:val="00BF0CA1"/>
    <w:rsid w:val="00C013A1"/>
    <w:rsid w:val="00C41E45"/>
    <w:rsid w:val="00C71403"/>
    <w:rsid w:val="00D31493"/>
    <w:rsid w:val="00D65364"/>
    <w:rsid w:val="00D93E20"/>
    <w:rsid w:val="00E83CF1"/>
    <w:rsid w:val="00E919D5"/>
    <w:rsid w:val="00F2051A"/>
    <w:rsid w:val="00F205E4"/>
    <w:rsid w:val="00F35138"/>
    <w:rsid w:val="00F352BB"/>
    <w:rsid w:val="00F7333B"/>
    <w:rsid w:val="00FC0C92"/>
    <w:rsid w:val="00FD50FF"/>
    <w:rsid w:val="00FD6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8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6CAE"/>
    <w:pPr>
      <w:ind w:left="720"/>
      <w:contextualSpacing/>
    </w:pPr>
  </w:style>
  <w:style w:type="paragraph" w:styleId="stbilgi">
    <w:name w:val="header"/>
    <w:basedOn w:val="Normal"/>
    <w:link w:val="stbilgiChar"/>
    <w:unhideWhenUsed/>
    <w:rsid w:val="00A717C8"/>
    <w:pPr>
      <w:tabs>
        <w:tab w:val="center" w:pos="4536"/>
        <w:tab w:val="right" w:pos="9072"/>
      </w:tabs>
      <w:spacing w:after="0" w:line="240" w:lineRule="auto"/>
    </w:pPr>
  </w:style>
  <w:style w:type="character" w:customStyle="1" w:styleId="stbilgiChar">
    <w:name w:val="Üstbilgi Char"/>
    <w:basedOn w:val="VarsaylanParagrafYazTipi"/>
    <w:link w:val="stbilgi"/>
    <w:rsid w:val="00A717C8"/>
  </w:style>
  <w:style w:type="paragraph" w:styleId="Altbilgi">
    <w:name w:val="footer"/>
    <w:basedOn w:val="Normal"/>
    <w:link w:val="AltbilgiChar"/>
    <w:uiPriority w:val="99"/>
    <w:unhideWhenUsed/>
    <w:rsid w:val="00A717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7C8"/>
  </w:style>
  <w:style w:type="character" w:styleId="AklamaBavurusu">
    <w:name w:val="annotation reference"/>
    <w:basedOn w:val="VarsaylanParagrafYazTipi"/>
    <w:uiPriority w:val="99"/>
    <w:semiHidden/>
    <w:unhideWhenUsed/>
    <w:rsid w:val="00A21AB1"/>
    <w:rPr>
      <w:sz w:val="16"/>
      <w:szCs w:val="16"/>
    </w:rPr>
  </w:style>
  <w:style w:type="paragraph" w:styleId="AklamaMetni">
    <w:name w:val="annotation text"/>
    <w:basedOn w:val="Normal"/>
    <w:link w:val="AklamaMetniChar"/>
    <w:uiPriority w:val="99"/>
    <w:semiHidden/>
    <w:unhideWhenUsed/>
    <w:rsid w:val="00A21AB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1AB1"/>
    <w:rPr>
      <w:sz w:val="20"/>
      <w:szCs w:val="20"/>
    </w:rPr>
  </w:style>
  <w:style w:type="paragraph" w:styleId="AklamaKonusu">
    <w:name w:val="annotation subject"/>
    <w:basedOn w:val="AklamaMetni"/>
    <w:next w:val="AklamaMetni"/>
    <w:link w:val="AklamaKonusuChar"/>
    <w:uiPriority w:val="99"/>
    <w:semiHidden/>
    <w:unhideWhenUsed/>
    <w:rsid w:val="00A21AB1"/>
    <w:rPr>
      <w:b/>
      <w:bCs/>
    </w:rPr>
  </w:style>
  <w:style w:type="character" w:customStyle="1" w:styleId="AklamaKonusuChar">
    <w:name w:val="Açıklama Konusu Char"/>
    <w:basedOn w:val="AklamaMetniChar"/>
    <w:link w:val="AklamaKonusu"/>
    <w:uiPriority w:val="99"/>
    <w:semiHidden/>
    <w:rsid w:val="00A21AB1"/>
    <w:rPr>
      <w:b/>
      <w:bCs/>
      <w:sz w:val="20"/>
      <w:szCs w:val="20"/>
    </w:rPr>
  </w:style>
  <w:style w:type="paragraph" w:styleId="BalonMetni">
    <w:name w:val="Balloon Text"/>
    <w:basedOn w:val="Normal"/>
    <w:link w:val="BalonMetniChar"/>
    <w:uiPriority w:val="99"/>
    <w:semiHidden/>
    <w:unhideWhenUsed/>
    <w:rsid w:val="00A21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1AB1"/>
    <w:rPr>
      <w:rFonts w:ascii="Segoe UI" w:hAnsi="Segoe UI" w:cs="Segoe UI"/>
      <w:sz w:val="18"/>
      <w:szCs w:val="18"/>
    </w:rPr>
  </w:style>
  <w:style w:type="character" w:customStyle="1" w:styleId="Gvdemetni3">
    <w:name w:val="Gövde metni (3)_"/>
    <w:basedOn w:val="VarsaylanParagrafYazTipi"/>
    <w:link w:val="Gvdemetni30"/>
    <w:rsid w:val="00B10297"/>
    <w:rPr>
      <w:rFonts w:ascii="Arial" w:eastAsia="Arial" w:hAnsi="Arial" w:cs="Arial"/>
      <w:b/>
      <w:bCs/>
      <w:sz w:val="30"/>
      <w:szCs w:val="30"/>
      <w:shd w:val="clear" w:color="auto" w:fill="FFFFFF"/>
    </w:rPr>
  </w:style>
  <w:style w:type="paragraph" w:customStyle="1" w:styleId="Gvdemetni30">
    <w:name w:val="Gövde metni (3)"/>
    <w:basedOn w:val="Normal"/>
    <w:link w:val="Gvdemetni3"/>
    <w:rsid w:val="00B10297"/>
    <w:pPr>
      <w:widowControl w:val="0"/>
      <w:shd w:val="clear" w:color="auto" w:fill="FFFFFF"/>
      <w:spacing w:after="0" w:line="365" w:lineRule="exact"/>
      <w:jc w:val="center"/>
    </w:pPr>
    <w:rPr>
      <w:rFonts w:ascii="Arial" w:eastAsia="Arial" w:hAnsi="Arial" w:cs="Arial"/>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8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6CAE"/>
    <w:pPr>
      <w:ind w:left="720"/>
      <w:contextualSpacing/>
    </w:pPr>
  </w:style>
  <w:style w:type="paragraph" w:styleId="stbilgi">
    <w:name w:val="header"/>
    <w:basedOn w:val="Normal"/>
    <w:link w:val="stbilgiChar"/>
    <w:unhideWhenUsed/>
    <w:rsid w:val="00A717C8"/>
    <w:pPr>
      <w:tabs>
        <w:tab w:val="center" w:pos="4536"/>
        <w:tab w:val="right" w:pos="9072"/>
      </w:tabs>
      <w:spacing w:after="0" w:line="240" w:lineRule="auto"/>
    </w:pPr>
  </w:style>
  <w:style w:type="character" w:customStyle="1" w:styleId="stbilgiChar">
    <w:name w:val="Üstbilgi Char"/>
    <w:basedOn w:val="VarsaylanParagrafYazTipi"/>
    <w:link w:val="stbilgi"/>
    <w:rsid w:val="00A717C8"/>
  </w:style>
  <w:style w:type="paragraph" w:styleId="Altbilgi">
    <w:name w:val="footer"/>
    <w:basedOn w:val="Normal"/>
    <w:link w:val="AltbilgiChar"/>
    <w:uiPriority w:val="99"/>
    <w:unhideWhenUsed/>
    <w:rsid w:val="00A717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7C8"/>
  </w:style>
  <w:style w:type="character" w:styleId="AklamaBavurusu">
    <w:name w:val="annotation reference"/>
    <w:basedOn w:val="VarsaylanParagrafYazTipi"/>
    <w:uiPriority w:val="99"/>
    <w:semiHidden/>
    <w:unhideWhenUsed/>
    <w:rsid w:val="00A21AB1"/>
    <w:rPr>
      <w:sz w:val="16"/>
      <w:szCs w:val="16"/>
    </w:rPr>
  </w:style>
  <w:style w:type="paragraph" w:styleId="AklamaMetni">
    <w:name w:val="annotation text"/>
    <w:basedOn w:val="Normal"/>
    <w:link w:val="AklamaMetniChar"/>
    <w:uiPriority w:val="99"/>
    <w:semiHidden/>
    <w:unhideWhenUsed/>
    <w:rsid w:val="00A21AB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1AB1"/>
    <w:rPr>
      <w:sz w:val="20"/>
      <w:szCs w:val="20"/>
    </w:rPr>
  </w:style>
  <w:style w:type="paragraph" w:styleId="AklamaKonusu">
    <w:name w:val="annotation subject"/>
    <w:basedOn w:val="AklamaMetni"/>
    <w:next w:val="AklamaMetni"/>
    <w:link w:val="AklamaKonusuChar"/>
    <w:uiPriority w:val="99"/>
    <w:semiHidden/>
    <w:unhideWhenUsed/>
    <w:rsid w:val="00A21AB1"/>
    <w:rPr>
      <w:b/>
      <w:bCs/>
    </w:rPr>
  </w:style>
  <w:style w:type="character" w:customStyle="1" w:styleId="AklamaKonusuChar">
    <w:name w:val="Açıklama Konusu Char"/>
    <w:basedOn w:val="AklamaMetniChar"/>
    <w:link w:val="AklamaKonusu"/>
    <w:uiPriority w:val="99"/>
    <w:semiHidden/>
    <w:rsid w:val="00A21AB1"/>
    <w:rPr>
      <w:b/>
      <w:bCs/>
      <w:sz w:val="20"/>
      <w:szCs w:val="20"/>
    </w:rPr>
  </w:style>
  <w:style w:type="paragraph" w:styleId="BalonMetni">
    <w:name w:val="Balloon Text"/>
    <w:basedOn w:val="Normal"/>
    <w:link w:val="BalonMetniChar"/>
    <w:uiPriority w:val="99"/>
    <w:semiHidden/>
    <w:unhideWhenUsed/>
    <w:rsid w:val="00A21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1AB1"/>
    <w:rPr>
      <w:rFonts w:ascii="Segoe UI" w:hAnsi="Segoe UI" w:cs="Segoe UI"/>
      <w:sz w:val="18"/>
      <w:szCs w:val="18"/>
    </w:rPr>
  </w:style>
  <w:style w:type="character" w:customStyle="1" w:styleId="Gvdemetni3">
    <w:name w:val="Gövde metni (3)_"/>
    <w:basedOn w:val="VarsaylanParagrafYazTipi"/>
    <w:link w:val="Gvdemetni30"/>
    <w:rsid w:val="00B10297"/>
    <w:rPr>
      <w:rFonts w:ascii="Arial" w:eastAsia="Arial" w:hAnsi="Arial" w:cs="Arial"/>
      <w:b/>
      <w:bCs/>
      <w:sz w:val="30"/>
      <w:szCs w:val="30"/>
      <w:shd w:val="clear" w:color="auto" w:fill="FFFFFF"/>
    </w:rPr>
  </w:style>
  <w:style w:type="paragraph" w:customStyle="1" w:styleId="Gvdemetni30">
    <w:name w:val="Gövde metni (3)"/>
    <w:basedOn w:val="Normal"/>
    <w:link w:val="Gvdemetni3"/>
    <w:rsid w:val="00B10297"/>
    <w:pPr>
      <w:widowControl w:val="0"/>
      <w:shd w:val="clear" w:color="auto" w:fill="FFFFFF"/>
      <w:spacing w:after="0" w:line="365" w:lineRule="exact"/>
      <w:jc w:val="center"/>
    </w:pPr>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CC76-0738-473A-998B-A4128152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10062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TUNCMAN</dc:creator>
  <cp:lastModifiedBy>Ebru YAVUZ</cp:lastModifiedBy>
  <cp:revision>2</cp:revision>
  <dcterms:created xsi:type="dcterms:W3CDTF">2022-07-22T13:42:00Z</dcterms:created>
  <dcterms:modified xsi:type="dcterms:W3CDTF">2022-07-22T13:42:00Z</dcterms:modified>
</cp:coreProperties>
</file>